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6AD9" w:rsidRPr="00776AD9" w:rsidRDefault="00776AD9" w:rsidP="00776AD9">
      <w:pPr>
        <w:keepNext/>
        <w:spacing w:after="0" w:line="240" w:lineRule="auto"/>
        <w:jc w:val="center"/>
        <w:outlineLvl w:val="1"/>
        <w:rPr>
          <w:rFonts w:ascii="Arial" w:eastAsia="Times New Roman" w:hAnsi="Arial" w:cs="Times New Roman"/>
          <w:b/>
          <w:sz w:val="24"/>
          <w:szCs w:val="20"/>
          <w:lang w:val="es-ES" w:eastAsia="es-ES"/>
        </w:rPr>
      </w:pPr>
      <w:bookmarkStart w:id="0" w:name="_Toc93902197"/>
      <w:r w:rsidRPr="00776AD9">
        <w:rPr>
          <w:rFonts w:eastAsia="Times New Roman" w:cs="Times New Roman"/>
          <w:b/>
          <w:lang w:val="es-ES" w:eastAsia="es-ES"/>
        </w:rPr>
        <w:t>ANEXO N°4. “GUÍA DE ELABORACIÓN DE PROPUESTA TÉCNICA”</w:t>
      </w:r>
      <w:bookmarkEnd w:id="0"/>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Esta guía tiene por objetivo entregar la información técnica y herramientas necesarias a los oferentes para orientarlos en las directrices generales para la formulación de su propuesta técnica en la elaboración de la propuesta formativa, instrumentos de evaluación y la estrategia metodológica de estos módulos.</w:t>
      </w:r>
    </w:p>
    <w:p w:rsidR="00776AD9" w:rsidRPr="00776AD9" w:rsidRDefault="00776AD9" w:rsidP="00776AD9">
      <w:pPr>
        <w:spacing w:after="0" w:line="240" w:lineRule="auto"/>
        <w:jc w:val="both"/>
        <w:rPr>
          <w:rFonts w:eastAsia="Times New Roman" w:cs="Times New Roman"/>
          <w:b/>
          <w:color w:val="000000" w:themeColor="text1"/>
          <w:lang w:val="es-ES" w:eastAsia="es-ES"/>
        </w:rPr>
      </w:pPr>
    </w:p>
    <w:p w:rsidR="00776AD9" w:rsidRPr="00776AD9" w:rsidRDefault="00776AD9" w:rsidP="00776AD9">
      <w:pPr>
        <w:numPr>
          <w:ilvl w:val="0"/>
          <w:numId w:val="11"/>
        </w:numPr>
        <w:spacing w:after="0" w:line="240" w:lineRule="auto"/>
        <w:jc w:val="both"/>
        <w:rPr>
          <w:rFonts w:eastAsia="Times New Roman" w:cs="Times New Roman"/>
          <w:color w:val="000000" w:themeColor="text1"/>
          <w:lang w:val="es-ES" w:eastAsia="es-ES"/>
        </w:rPr>
      </w:pPr>
      <w:bookmarkStart w:id="1" w:name="_Hlk41439973"/>
      <w:r w:rsidRPr="00776AD9">
        <w:rPr>
          <w:rFonts w:eastAsia="Times New Roman" w:cs="Times New Roman"/>
          <w:color w:val="000000" w:themeColor="text1"/>
          <w:lang w:val="es-ES" w:eastAsia="es-ES"/>
        </w:rPr>
        <w:t>Propuesta Formativa</w:t>
      </w:r>
    </w:p>
    <w:bookmarkEnd w:id="1"/>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Es un programa de aprendizaje, el cual debe estar articulado por medio de un conjunto de módulos asociados a una competencia particular para el logro de la competencia general consignada en el plan formativo, el cual debe indicar: nombre de los módulos, aprendizajes esperados, criterios de evaluación, contenidos y horas cronológicas por cada uno de ellos, insumos, herramientas y equipamiento que se utilizarán para la ejecución del proceso formativo. Dicho plan formativo debe:</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widowControl w:val="0"/>
        <w:numPr>
          <w:ilvl w:val="0"/>
          <w:numId w:val="5"/>
        </w:numPr>
        <w:autoSpaceDE w:val="0"/>
        <w:autoSpaceDN w:val="0"/>
        <w:spacing w:after="0" w:line="240" w:lineRule="auto"/>
        <w:ind w:left="284" w:hanging="284"/>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Sustentarse en principios de </w:t>
      </w:r>
      <w:proofErr w:type="gramStart"/>
      <w:r w:rsidRPr="00776AD9">
        <w:rPr>
          <w:rFonts w:eastAsia="Times New Roman" w:cs="Times New Roman"/>
          <w:color w:val="000000" w:themeColor="text1"/>
          <w:lang w:val="es-ES" w:eastAsia="es-ES"/>
        </w:rPr>
        <w:t>didáctica activa o aprendizaje activo</w:t>
      </w:r>
      <w:proofErr w:type="gramEnd"/>
      <w:r w:rsidRPr="00776AD9">
        <w:rPr>
          <w:rFonts w:eastAsia="Times New Roman" w:cs="Times New Roman"/>
          <w:color w:val="000000" w:themeColor="text1"/>
          <w:lang w:val="es-ES" w:eastAsia="es-ES"/>
        </w:rPr>
        <w:t>.</w:t>
      </w:r>
    </w:p>
    <w:p w:rsidR="00776AD9" w:rsidRPr="00776AD9" w:rsidRDefault="00776AD9" w:rsidP="00776AD9">
      <w:pPr>
        <w:widowControl w:val="0"/>
        <w:autoSpaceDE w:val="0"/>
        <w:autoSpaceDN w:val="0"/>
        <w:spacing w:after="0" w:line="240" w:lineRule="auto"/>
        <w:ind w:left="567"/>
        <w:jc w:val="both"/>
        <w:rPr>
          <w:rFonts w:eastAsia="Times New Roman" w:cs="Times New Roman"/>
          <w:color w:val="000000" w:themeColor="text1"/>
          <w:lang w:val="es-ES" w:eastAsia="es-ES"/>
        </w:rPr>
      </w:pPr>
    </w:p>
    <w:p w:rsidR="00776AD9" w:rsidRPr="00776AD9" w:rsidRDefault="00776AD9" w:rsidP="00776AD9">
      <w:pPr>
        <w:widowControl w:val="0"/>
        <w:numPr>
          <w:ilvl w:val="0"/>
          <w:numId w:val="2"/>
        </w:numPr>
        <w:autoSpaceDE w:val="0"/>
        <w:autoSpaceDN w:val="0"/>
        <w:spacing w:after="0" w:line="240" w:lineRule="auto"/>
        <w:ind w:left="567" w:hanging="283"/>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Considerar para el logro de los aprendizajes el proceso de pensamiento de las personas y su experiencia laboral.</w:t>
      </w:r>
    </w:p>
    <w:p w:rsidR="00776AD9" w:rsidRPr="00776AD9" w:rsidRDefault="00776AD9" w:rsidP="00776AD9">
      <w:pPr>
        <w:widowControl w:val="0"/>
        <w:numPr>
          <w:ilvl w:val="0"/>
          <w:numId w:val="2"/>
        </w:numPr>
        <w:autoSpaceDE w:val="0"/>
        <w:autoSpaceDN w:val="0"/>
        <w:spacing w:after="0" w:line="240" w:lineRule="auto"/>
        <w:ind w:left="567" w:hanging="283"/>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El aprendizaje en personas con algún grado de trayectoria laboral se fundamenta en sus </w:t>
      </w:r>
      <w:r w:rsidRPr="00776AD9">
        <w:rPr>
          <w:rFonts w:eastAsia="Times New Roman" w:cs="Times New Roman"/>
          <w:b/>
          <w:color w:val="000000" w:themeColor="text1"/>
          <w:lang w:val="es-ES" w:eastAsia="es-ES"/>
        </w:rPr>
        <w:t>experiencias previas</w:t>
      </w:r>
      <w:r w:rsidRPr="00776AD9">
        <w:rPr>
          <w:rFonts w:eastAsia="Times New Roman" w:cs="Times New Roman"/>
          <w:color w:val="000000" w:themeColor="text1"/>
          <w:lang w:val="es-ES" w:eastAsia="es-ES"/>
        </w:rPr>
        <w:t>, esto nos obliga a diseñar experiencias de aprendizaje, contextualizadas, activas y significativas.</w:t>
      </w:r>
    </w:p>
    <w:p w:rsidR="00776AD9" w:rsidRPr="00776AD9" w:rsidRDefault="00776AD9" w:rsidP="00776AD9">
      <w:pPr>
        <w:widowControl w:val="0"/>
        <w:numPr>
          <w:ilvl w:val="0"/>
          <w:numId w:val="2"/>
        </w:numPr>
        <w:autoSpaceDE w:val="0"/>
        <w:autoSpaceDN w:val="0"/>
        <w:spacing w:after="0" w:line="240" w:lineRule="auto"/>
        <w:ind w:left="567" w:hanging="283"/>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Principios de participación y horizontalidad, donde el participante está al centro del aprendizaje y el docente adquiere un rol de facilitador, de mediador entre las experiencias y los aprendizajes que se deben lograr.</w:t>
      </w:r>
    </w:p>
    <w:p w:rsidR="00776AD9" w:rsidRPr="00776AD9" w:rsidRDefault="00776AD9" w:rsidP="00776AD9">
      <w:pPr>
        <w:widowControl w:val="0"/>
        <w:numPr>
          <w:ilvl w:val="0"/>
          <w:numId w:val="2"/>
        </w:numPr>
        <w:autoSpaceDE w:val="0"/>
        <w:autoSpaceDN w:val="0"/>
        <w:spacing w:after="0" w:line="240" w:lineRule="auto"/>
        <w:ind w:left="567" w:hanging="283"/>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Enfoque a la capacidad de los individuos no solo de aprender a aprender, si no aprender a desaprender y reaprender a través de un proceso de reflexión, que les permita primero mirar su quehacer y luego corregir, mejorar, complementar, proceso en el cual debe ser acompañado del docente facilitador.</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widowControl w:val="0"/>
        <w:numPr>
          <w:ilvl w:val="0"/>
          <w:numId w:val="5"/>
        </w:numPr>
        <w:autoSpaceDE w:val="0"/>
        <w:autoSpaceDN w:val="0"/>
        <w:spacing w:after="0" w:line="240" w:lineRule="auto"/>
        <w:ind w:left="284" w:hanging="284"/>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Tener un enfoque hacia lo práctico.</w:t>
      </w:r>
    </w:p>
    <w:p w:rsidR="00776AD9" w:rsidRPr="00776AD9" w:rsidRDefault="00776AD9" w:rsidP="00776AD9">
      <w:pPr>
        <w:widowControl w:val="0"/>
        <w:autoSpaceDE w:val="0"/>
        <w:autoSpaceDN w:val="0"/>
        <w:spacing w:after="0" w:line="240" w:lineRule="auto"/>
        <w:ind w:left="567"/>
        <w:jc w:val="both"/>
        <w:rPr>
          <w:rFonts w:eastAsia="Times New Roman" w:cs="Times New Roman"/>
          <w:color w:val="000000" w:themeColor="text1"/>
          <w:lang w:val="es-ES" w:eastAsia="es-ES"/>
        </w:rPr>
      </w:pPr>
    </w:p>
    <w:p w:rsidR="00776AD9" w:rsidRPr="00776AD9" w:rsidRDefault="00776AD9" w:rsidP="00776AD9">
      <w:pPr>
        <w:widowControl w:val="0"/>
        <w:numPr>
          <w:ilvl w:val="0"/>
          <w:numId w:val="2"/>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Las metodologías de enseñanza y aprendizaje deberán tener un carácter eminentemente práctico (saber hacer), pero sustentado en bases conceptuales y/o de contexto y saber ser. Además de estar anclados a la realidad laboral.</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widowControl w:val="0"/>
        <w:numPr>
          <w:ilvl w:val="0"/>
          <w:numId w:val="5"/>
        </w:numPr>
        <w:autoSpaceDE w:val="0"/>
        <w:autoSpaceDN w:val="0"/>
        <w:spacing w:after="0" w:line="240" w:lineRule="auto"/>
        <w:ind w:left="284" w:hanging="284"/>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Desarrollarse desde la perspectiva del aprendizaje.</w:t>
      </w:r>
    </w:p>
    <w:p w:rsidR="00776AD9" w:rsidRPr="00776AD9" w:rsidRDefault="00776AD9" w:rsidP="00776AD9">
      <w:pPr>
        <w:widowControl w:val="0"/>
        <w:autoSpaceDE w:val="0"/>
        <w:autoSpaceDN w:val="0"/>
        <w:spacing w:after="0" w:line="240" w:lineRule="auto"/>
        <w:ind w:left="567"/>
        <w:jc w:val="both"/>
        <w:rPr>
          <w:rFonts w:eastAsia="Times New Roman" w:cs="Times New Roman"/>
          <w:color w:val="000000" w:themeColor="text1"/>
          <w:lang w:val="es-ES" w:eastAsia="es-ES"/>
        </w:rPr>
      </w:pPr>
    </w:p>
    <w:p w:rsidR="00776AD9" w:rsidRPr="00776AD9" w:rsidRDefault="00776AD9" w:rsidP="00776AD9">
      <w:pPr>
        <w:widowControl w:val="0"/>
        <w:numPr>
          <w:ilvl w:val="0"/>
          <w:numId w:val="2"/>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Centrado en el participante.</w:t>
      </w:r>
    </w:p>
    <w:p w:rsidR="00776AD9" w:rsidRPr="00776AD9" w:rsidRDefault="00776AD9" w:rsidP="00776AD9">
      <w:pPr>
        <w:widowControl w:val="0"/>
        <w:numPr>
          <w:ilvl w:val="0"/>
          <w:numId w:val="2"/>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Los aprendizajes esperados deberán traducir una manera de desarrollar las competencias que están a la base del programa.</w:t>
      </w:r>
    </w:p>
    <w:p w:rsidR="00776AD9" w:rsidRPr="00776AD9" w:rsidRDefault="00776AD9" w:rsidP="00776AD9">
      <w:pPr>
        <w:widowControl w:val="0"/>
        <w:numPr>
          <w:ilvl w:val="0"/>
          <w:numId w:val="2"/>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Las experiencias de aprendizaje deberán apuntar al desarrollo de las capacidades expresadas en los aprendizajes esperados.</w:t>
      </w:r>
    </w:p>
    <w:p w:rsidR="00776AD9" w:rsidRPr="00776AD9" w:rsidRDefault="00776AD9" w:rsidP="00776AD9">
      <w:pPr>
        <w:widowControl w:val="0"/>
        <w:numPr>
          <w:ilvl w:val="0"/>
          <w:numId w:val="2"/>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Los recursos de aprendizaje deberán apuntar al desarrollo de las capacidades expresadas en los aprendizajes esperados.</w:t>
      </w:r>
    </w:p>
    <w:p w:rsidR="00776AD9" w:rsidRPr="00776AD9" w:rsidRDefault="00776AD9" w:rsidP="00776AD9">
      <w:pPr>
        <w:widowControl w:val="0"/>
        <w:numPr>
          <w:ilvl w:val="0"/>
          <w:numId w:val="2"/>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La evaluación en las propuestas formativas deberá ser para el o los aprendizajes. (La evaluación, por tanto, debe considerar instancias de evaluación formativa y de </w:t>
      </w:r>
      <w:r w:rsidRPr="00776AD9">
        <w:rPr>
          <w:rFonts w:eastAsia="Times New Roman" w:cs="Times New Roman"/>
          <w:color w:val="000000" w:themeColor="text1"/>
          <w:lang w:val="es-ES" w:eastAsia="es-ES"/>
        </w:rPr>
        <w:lastRenderedPageBreak/>
        <w:t>retroalimentación)</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u w:val="single"/>
          <w:lang w:val="es-ES" w:eastAsia="es-ES"/>
        </w:rPr>
      </w:pPr>
      <w:r w:rsidRPr="00776AD9">
        <w:rPr>
          <w:rFonts w:eastAsia="Times New Roman" w:cs="Times New Roman"/>
          <w:b/>
          <w:color w:val="000000" w:themeColor="text1"/>
          <w:u w:val="single"/>
          <w:lang w:val="es-ES" w:eastAsia="es-ES"/>
        </w:rPr>
        <w:t>Conceptos y definiciones claves a considerar en la Propuesta Formativa:</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bCs/>
          <w:color w:val="000000" w:themeColor="text1"/>
          <w:u w:val="single"/>
          <w:lang w:val="es-ES" w:eastAsia="es-ES"/>
        </w:rPr>
      </w:pPr>
      <w:r w:rsidRPr="00776AD9">
        <w:rPr>
          <w:rFonts w:eastAsia="Times New Roman" w:cs="Times New Roman"/>
          <w:b/>
          <w:bCs/>
          <w:color w:val="000000" w:themeColor="text1"/>
          <w:u w:val="single"/>
          <w:lang w:val="es-ES" w:eastAsia="es-ES"/>
        </w:rPr>
        <w:t xml:space="preserve">Nombre del Plan Formativo/Modulo: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Es el nombre del Plan Formativo, debe estar referido a la acción formativa en relación con la actividad productiva a desarrollar. No corresponde, que el nombre del plan formativo sea el mismo que el perfil ocupacional o perfil de cargo, esto es, el puesto de trabajo en que posiblemente se desempeñe el participante. Por tanto, el nombre debe dar cuenta del proceso de formación requerido, a modo de ejemplo: Perfil ocupacional “Banquetero”; Nombre del Plan Formativo: “Servicio de </w:t>
      </w:r>
      <w:proofErr w:type="spellStart"/>
      <w:r w:rsidRPr="00776AD9">
        <w:rPr>
          <w:rFonts w:eastAsia="Times New Roman" w:cs="Times New Roman"/>
          <w:color w:val="000000" w:themeColor="text1"/>
          <w:lang w:val="es-ES" w:eastAsia="es-ES"/>
        </w:rPr>
        <w:t>Banquetería</w:t>
      </w:r>
      <w:proofErr w:type="spellEnd"/>
      <w:r w:rsidRPr="00776AD9">
        <w:rPr>
          <w:rFonts w:eastAsia="Times New Roman" w:cs="Times New Roman"/>
          <w:color w:val="000000" w:themeColor="text1"/>
          <w:lang w:val="es-ES" w:eastAsia="es-ES"/>
        </w:rPr>
        <w:t>”.</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A su vez, el nombre del Módulo debe estar referido a la acción formativa relacionada con la</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 xml:space="preserve">competencia a desarrollar en éste, es decir, al conjunto de funciones y subfunciones que el participante abordará formativamente. Asimismo, debe vincularse a la acción formativa asociada a la competencia general del Plan Formativo. Siguiendo el ejemplo del plan formativo “Servicio de </w:t>
      </w:r>
      <w:proofErr w:type="spellStart"/>
      <w:r w:rsidRPr="00776AD9">
        <w:rPr>
          <w:rFonts w:eastAsia="Times New Roman" w:cs="Times New Roman"/>
          <w:color w:val="000000" w:themeColor="text1"/>
          <w:lang w:val="es-ES" w:eastAsia="es-ES"/>
        </w:rPr>
        <w:t>Banquetería</w:t>
      </w:r>
      <w:proofErr w:type="spellEnd"/>
      <w:r w:rsidRPr="00776AD9">
        <w:rPr>
          <w:rFonts w:eastAsia="Times New Roman" w:cs="Times New Roman"/>
          <w:color w:val="000000" w:themeColor="text1"/>
          <w:lang w:val="es-ES" w:eastAsia="es-ES"/>
        </w:rPr>
        <w:t>” podemos considerar como módulo la “Organización de un evento gastronómico”.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Duración en Horas Plan formativo/Modulo: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Se considera las</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 xml:space="preserve">horas cronológicas para la totalidad del plan formativo (donde se incluye módulos transversales, si corresponde), las que deben ser suficientes para que, </w:t>
      </w:r>
      <w:proofErr w:type="gramStart"/>
      <w:r w:rsidRPr="00776AD9">
        <w:rPr>
          <w:rFonts w:eastAsia="Times New Roman" w:cs="Times New Roman"/>
          <w:color w:val="000000" w:themeColor="text1"/>
          <w:lang w:val="es-ES" w:eastAsia="es-ES"/>
        </w:rPr>
        <w:t>de acuerdo al</w:t>
      </w:r>
      <w:proofErr w:type="gramEnd"/>
      <w:r w:rsidRPr="00776AD9">
        <w:rPr>
          <w:rFonts w:eastAsia="Times New Roman" w:cs="Times New Roman"/>
          <w:color w:val="000000" w:themeColor="text1"/>
          <w:lang w:val="es-ES" w:eastAsia="es-ES"/>
        </w:rPr>
        <w:t xml:space="preserve"> perfil de ingreso definido, el participante pueda adquirir las competencias determinadas en el plan formativo y de cada uno de sus módulos.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El número de horas del módulo corresponde a la cantidad total de horas cronológicas del</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Módulo. El tiempo asignado debe tener directa relación y coherencia con la agrupación de aprendizajes esperados, criterios de evaluación y contenidos. Por otra parte, debe guardar relación con los lineamientos técnicos sectoriales requeridos.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Las horas del plan formativo y las horas de cada módulo deben ser enteras salvo que exista regulación de organismo competente que indique lo contrario, es decir, normativa que expresamente establezca el uso de horas fraccionadas.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Descripción de la ocupación y campo laboral asociado: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Todo Plan Formativo debe contener una descripción general y breve de la ocupación en sí misma y del campo laboral asociado al desempeño laboral.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Se entenderá por descripción de la ocupación, aquella que entregue las características generales en el desempeño laboral, es decir, el conjunto de funciones principales que realizará aquella persona en el ejercicio diario del oficio una vez que esté ejerciendo.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Para el caso de la descripción del campo laboral, se entenderá aquella que dé cuenta de los principales actores productivos en donde se podrá desempeñar, ya sea por vía dependiente como independiente, entorno laboral, condiciones de territorialidad, jornadas laborales, entre otros, con </w:t>
      </w:r>
      <w:r w:rsidRPr="00776AD9">
        <w:rPr>
          <w:rFonts w:eastAsia="Times New Roman" w:cs="Times New Roman"/>
          <w:color w:val="000000" w:themeColor="text1"/>
          <w:lang w:val="es-ES" w:eastAsia="es-ES"/>
        </w:rPr>
        <w:lastRenderedPageBreak/>
        <w:t>el objeto de visualizar o proyectar los lugares, centros o industrias en que pueda desempeñar la ocupación.</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A modo de ejemplo: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widowControl w:val="0"/>
        <w:numPr>
          <w:ilvl w:val="0"/>
          <w:numId w:val="6"/>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Plan Formativo: Actividades comerciales en kioscos tipo C de establecimientos educacionales.</w:t>
      </w:r>
    </w:p>
    <w:p w:rsidR="00776AD9" w:rsidRPr="00776AD9" w:rsidRDefault="00776AD9" w:rsidP="00776AD9">
      <w:pPr>
        <w:widowControl w:val="0"/>
        <w:numPr>
          <w:ilvl w:val="0"/>
          <w:numId w:val="6"/>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Descripción de la Ocupación: El concesionario de kioscos escolares tipo C realiza labores de comercialización de productos y alimentos dentro de un establecimiento educacional, tomando en consideración los aspectos de salud y nutrición dispuestos en diferentes normas legales.</w:t>
      </w:r>
    </w:p>
    <w:p w:rsidR="00776AD9" w:rsidRPr="00776AD9" w:rsidRDefault="00776AD9" w:rsidP="00776AD9">
      <w:pPr>
        <w:widowControl w:val="0"/>
        <w:numPr>
          <w:ilvl w:val="0"/>
          <w:numId w:val="6"/>
        </w:numPr>
        <w:autoSpaceDE w:val="0"/>
        <w:autoSpaceDN w:val="0"/>
        <w:spacing w:after="0" w:line="240" w:lineRule="auto"/>
        <w:ind w:left="567"/>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Campo laboral Asociado: Su campo laboral radica en el emprendimiento y trabajo independiente de un kiosco escolar dentro de un establecimiento educacional, cumpliendo con todos los requisitos legales, tales como autorizaciones sanitarias y arriendo dentro de un colegio, liceo o escuela. Cabe destacar que para el ejercicio del oficio mencionado requerirá de los siguientes permisos y autorizaciones: Resolución sanitaria respectiva para establecimientos destinados a la elaboración de alimentos y Patente municipal e inicio de actividades comerciales.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Requisitos que debe cumplir el ejecutor: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Los requisitos del organismo ejecutor corresponden a aquellas licencias, autorizaciones u otro acto que le permita a la entidad capacitadora poder ejecutar algún tipo de proceso de capacitación, </w:t>
      </w:r>
      <w:proofErr w:type="gramStart"/>
      <w:r w:rsidRPr="00776AD9">
        <w:rPr>
          <w:rFonts w:eastAsia="Times New Roman" w:cs="Times New Roman"/>
          <w:color w:val="000000" w:themeColor="text1"/>
          <w:lang w:val="es-ES" w:eastAsia="es-ES"/>
        </w:rPr>
        <w:t>de acuerdo a</w:t>
      </w:r>
      <w:proofErr w:type="gramEnd"/>
      <w:r w:rsidRPr="00776AD9">
        <w:rPr>
          <w:rFonts w:eastAsia="Times New Roman" w:cs="Times New Roman"/>
          <w:color w:val="000000" w:themeColor="text1"/>
          <w:lang w:val="es-ES" w:eastAsia="es-ES"/>
        </w:rPr>
        <w:t xml:space="preserve"> la normativa específica vigente. En tal sentido, el apartado indicado, debe contar tanto con el nombre de la autorización requerida y el organismo que emite dicha autorización.</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Para los planes formativos que se</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requiera una acreditación especial para el Organismo Ejecutor, el oferente deberá adjuntar en la plataforma de presentación de ofertas, la acreditación correspondiente, tales como: DIRECTEMAR, Ministerio de Transportes y Telecomunicaciones, Ministerio de Salud etc., toda vez que ella indica una especialización que el oferente debe conocer y tener.</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Requisitos de ingreso de los participantes al Plan Formativo: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Los requisitos de ingreso al Plan Formativo son aquellas condiciones que debe cumplir el participante para poder ingresar a la capacitación, es decir, al proceso formativo. Estos requisitos formales deben estar condicionados respecto del nivel de cualificación del perfil u ocupación y las características de complejidad técnica que este puede contener. Desde esta perspectiva, los requisitos de ingreso deben dar cuenta de los conocimientos básicos o experiencias laborales del participante a la hora de entrar en un proceso de capacitación. En caso de existir una licencia habilitante, el oferente debe establecer las condiciones de acceso que la licencia habilitante plantee, replicando aquellos requisitos en el plan formativo. De todas formas, no se considerarán aquellos planes formativos que constituyan requisitos de ingreso que puedan constituir una discriminación arbitraria. Cabe señalar que los requisitos de ingreso normados por instituciones externas (DIRECTEMAR, SAG, entre otras) que pudieran no visualizarse en el proceso de evaluación, pero que existan, prevalecerán a los establecidos por el oferente, si éstos aplican al momento del inicio de la ejecución.</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Se debe considerar que los requisitos de ingreso no deben propiciar la discriminación en ningún ámbito.</w:t>
      </w:r>
    </w:p>
    <w:p w:rsidR="00776AD9" w:rsidRPr="00776AD9" w:rsidRDefault="00776AD9" w:rsidP="00776AD9">
      <w:pPr>
        <w:spacing w:after="0" w:line="240" w:lineRule="auto"/>
        <w:jc w:val="both"/>
        <w:rPr>
          <w:rFonts w:eastAsia="Times New Roman" w:cs="Times New Roman"/>
          <w:b/>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lastRenderedPageBreak/>
        <w:t xml:space="preserve">Competencia del Plan Formativo: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Las competencias laborales son todas las actitudes, conocimientos y destrezas necesarias para cumplir exitosamente las actividades que componen una función laboral, según estándares definidos por el sector productivo. El plan formativo debe lograr la adquisición de la competencia que le sirva al participante para integrarse a dicha función laboral definida. Lo anterior implica la traducción curricular de la competencia laboral hacía una estructura de formación, conteniendo el conjunto de capacidades generales que deberá desarrollar el participante dentro de proceso de capacitación, integrando las funciones principales </w:t>
      </w:r>
      <w:proofErr w:type="gramStart"/>
      <w:r w:rsidRPr="00776AD9">
        <w:rPr>
          <w:rFonts w:eastAsia="Times New Roman" w:cs="Times New Roman"/>
          <w:color w:val="000000" w:themeColor="text1"/>
          <w:lang w:val="es-ES" w:eastAsia="es-ES"/>
        </w:rPr>
        <w:t>en relación a</w:t>
      </w:r>
      <w:proofErr w:type="gramEnd"/>
      <w:r w:rsidRPr="00776AD9">
        <w:rPr>
          <w:rFonts w:eastAsia="Times New Roman" w:cs="Times New Roman"/>
          <w:color w:val="000000" w:themeColor="text1"/>
          <w:lang w:val="es-ES" w:eastAsia="es-ES"/>
        </w:rPr>
        <w:t xml:space="preserve"> los ejes modulares, además de establecerse como el objetivo general de aprendizaje. Fijar esta competencia de formación requiere ser diseñada a partir de preguntas como: ¿Cuál es el objetivo de esta capacitación? ¿Qué debería saber y saber hacer el participante luego de esta capacitación?  Se redacta teniendo en cuenta la siguiente estructura: </w:t>
      </w:r>
      <w:r w:rsidRPr="00776AD9">
        <w:rPr>
          <w:rFonts w:eastAsia="Times New Roman" w:cs="Times New Roman"/>
          <w:b/>
          <w:color w:val="000000" w:themeColor="text1"/>
          <w:lang w:val="es-ES" w:eastAsia="es-ES"/>
        </w:rPr>
        <w:t>verbo + objeto + condición</w:t>
      </w:r>
      <w:r w:rsidRPr="00776AD9">
        <w:rPr>
          <w:rFonts w:eastAsia="Times New Roman" w:cs="Times New Roman"/>
          <w:color w:val="000000" w:themeColor="text1"/>
          <w:lang w:val="es-ES" w:eastAsia="es-ES"/>
        </w:rPr>
        <w:t xml:space="preserve">. En relación con el criterio de identificación del verbo o los verbos rectores de esta competencia, deben ser expuestos desde taxonomías acordes al nivel de cualificación y estructura técnica de la ocupación, asimismo de la complejidad que implique la formación en las materias del Plan Formativo, lo que deberá guiar a los ejecutores de la capacitación hacia determinado objetivo de aprendizaje.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Módulo: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Constituye una unidad autónoma con sentido propio que, al mismo tiempo, se</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articula con los distintos módulos que integran la estructura curricular. El propósito formativo de cada módulo se refiere y se asocia estrechamente con los elementos de cada competencia, se pueden cursar y aprobar en forma independiente.</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La autonomía de los módulos otorga flexibilidad al diseño curricular, lo torna apto para adecuarse a las demandas dinámicas de la tecnología, organizacionales y a las necesidades propias de quienes se están formando.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Se recomienda que el número de módulos por plan formativo sea entre 3 y 5, según la naturaleza de la competencia a desarrollar en el plan.</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Módulos transversales: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Son aquellos módulos que tributan hacia la obtención de una competencia transversal. Esta competencia es aquella que entrega los componentes no técnicos, pero si necesarios para una correcta inserción al mercado y desempeño en el puesto de trabajo. Algunas competencias transversales requeridas por el mundo del trabajo en la actualidad son: Comunicación, Trabajo en Equipo, Resolución de Problemas, Iniciativa y Aprendizaje Permanente, Efectividad Personal, Conducta Segura y Autocuidado, entre otras.</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ab/>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b/>
          <w:color w:val="000000" w:themeColor="text1"/>
          <w:lang w:val="es-ES" w:eastAsia="es-ES"/>
        </w:rPr>
        <w:t>Competencia del Módulo</w:t>
      </w:r>
      <w:r w:rsidRPr="00776AD9">
        <w:rPr>
          <w:rFonts w:eastAsia="Times New Roman" w:cs="Times New Roman"/>
          <w:color w:val="000000" w:themeColor="text1"/>
          <w:lang w:val="es-ES" w:eastAsia="es-ES"/>
        </w:rPr>
        <w:t xml:space="preserve">: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Es la que se estructura a partir del conjunto de conocimientos, habilidades, destrezas, y actitudes visibles a desarrollar por el participante en el módulo, la que tributa a la competencia del plan formativo y tiene directa relación con el campo laboral. Aquella definición que debe integrar las habilidades, los conocimientos y actitudes necesarias para los estándares de desempeño laboral. En este caso, a diferencia del diseño de la competencia del Plan Formativo, se debe estructurar a partir </w:t>
      </w:r>
      <w:r w:rsidRPr="00776AD9">
        <w:rPr>
          <w:rFonts w:eastAsia="Times New Roman" w:cs="Times New Roman"/>
          <w:color w:val="000000" w:themeColor="text1"/>
          <w:lang w:val="es-ES" w:eastAsia="es-ES"/>
        </w:rPr>
        <w:lastRenderedPageBreak/>
        <w:t>de la función específica a desarrollar formativamente, es decir, en su redacción se debe reconocer el proceso de enseñanza-aprendizaje de la capacidad específica que se requiere en el desarrollo de competencias para el desempeño laboral, por tanto deberá ser estructurada en relación a las funciones concretas que se pretenden desarrollar modularmente, además, deberá estar contenida en la estructura de verbo, objeto y condición. Para su redacción se pueden ponderar las siguientes preguntas: ¿Cuál es el objetivo de este módulo? ¿Qué debería saber o saber hacer el participante luego de pasar por este módulo?  Se redacta como la competencia del Plan Formativo, teniendo en cuenta que su alcance es, obviamente menor ya que las competencias de los módulos son la desagregación de la Competencia del Plan Formativo.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Por ejemplo:</w:t>
      </w:r>
    </w:p>
    <w:p w:rsidR="00776AD9" w:rsidRPr="00776AD9" w:rsidRDefault="00776AD9" w:rsidP="00776AD9">
      <w:pPr>
        <w:spacing w:after="0" w:line="240" w:lineRule="auto"/>
        <w:jc w:val="both"/>
        <w:rPr>
          <w:rFonts w:eastAsia="Times New Roman" w:cs="Times New Roman"/>
          <w:color w:val="000000" w:themeColor="text1"/>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7"/>
        <w:gridCol w:w="2207"/>
        <w:gridCol w:w="2207"/>
        <w:gridCol w:w="2207"/>
      </w:tblGrid>
      <w:tr w:rsidR="00776AD9" w:rsidRPr="00776AD9" w:rsidTr="00154692">
        <w:tc>
          <w:tcPr>
            <w:tcW w:w="1250" w:type="pct"/>
            <w:vMerge w:val="restar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Competencia del Plan “OPERACIONES BÁSICAS DE CONDUCCIÓN DE UN DRON”</w:t>
            </w:r>
          </w:p>
        </w:tc>
        <w:tc>
          <w:tcPr>
            <w:tcW w:w="3750" w:type="pct"/>
            <w:gridSpan w:val="3"/>
            <w:shd w:val="clear" w:color="auto" w:fill="auto"/>
            <w:vAlign w:val="center"/>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Operar </w:t>
            </w:r>
            <w:r w:rsidRPr="00776AD9">
              <w:rPr>
                <w:rFonts w:eastAsia="Times New Roman" w:cs="Times New Roman"/>
                <w:b/>
                <w:color w:val="000000" w:themeColor="text1"/>
                <w:lang w:val="es-ES" w:eastAsia="es-ES"/>
              </w:rPr>
              <w:t>un DRON</w:t>
            </w:r>
            <w:r w:rsidRPr="00776AD9">
              <w:rPr>
                <w:rFonts w:eastAsia="Times New Roman" w:cs="Times New Roman"/>
                <w:color w:val="000000" w:themeColor="text1"/>
                <w:lang w:val="es-ES" w:eastAsia="es-ES"/>
              </w:rPr>
              <w:t xml:space="preserve">, </w:t>
            </w:r>
            <w:proofErr w:type="gramStart"/>
            <w:r w:rsidRPr="00776AD9">
              <w:rPr>
                <w:rFonts w:eastAsia="Times New Roman" w:cs="Times New Roman"/>
                <w:color w:val="000000" w:themeColor="text1"/>
                <w:u w:val="single"/>
                <w:lang w:val="es-ES" w:eastAsia="es-ES"/>
              </w:rPr>
              <w:t>de acuerdo a</w:t>
            </w:r>
            <w:proofErr w:type="gramEnd"/>
            <w:r w:rsidRPr="00776AD9">
              <w:rPr>
                <w:rFonts w:eastAsia="Times New Roman" w:cs="Times New Roman"/>
                <w:color w:val="000000" w:themeColor="text1"/>
                <w:u w:val="single"/>
                <w:lang w:val="es-ES" w:eastAsia="es-ES"/>
              </w:rPr>
              <w:t xml:space="preserve"> las normativas aeronáuticas, de seguridad y de privacidad.</w:t>
            </w:r>
          </w:p>
          <w:p w:rsidR="00776AD9" w:rsidRPr="00776AD9" w:rsidRDefault="00776AD9" w:rsidP="00776AD9">
            <w:pPr>
              <w:spacing w:after="0" w:line="240" w:lineRule="auto"/>
              <w:jc w:val="both"/>
              <w:rPr>
                <w:rFonts w:eastAsia="Times New Roman" w:cs="Times New Roman"/>
                <w:color w:val="000000" w:themeColor="text1"/>
                <w:lang w:val="es-ES" w:eastAsia="es-ES"/>
              </w:rPr>
            </w:pPr>
          </w:p>
        </w:tc>
      </w:tr>
      <w:tr w:rsidR="00776AD9" w:rsidRPr="00776AD9" w:rsidTr="00154692">
        <w:tc>
          <w:tcPr>
            <w:tcW w:w="1250" w:type="pct"/>
            <w:vMerge/>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p>
        </w:tc>
        <w:tc>
          <w:tcPr>
            <w:tcW w:w="1250" w:type="pct"/>
            <w:shd w:val="clear" w:color="auto" w:fill="auto"/>
            <w:vAlign w:val="center"/>
          </w:tcPr>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Módulo 1</w:t>
            </w:r>
          </w:p>
        </w:tc>
        <w:tc>
          <w:tcPr>
            <w:tcW w:w="1250" w:type="pct"/>
            <w:shd w:val="clear" w:color="auto" w:fill="auto"/>
            <w:vAlign w:val="center"/>
          </w:tcPr>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Módulo 2</w:t>
            </w:r>
          </w:p>
        </w:tc>
        <w:tc>
          <w:tcPr>
            <w:tcW w:w="1250" w:type="pct"/>
            <w:shd w:val="clear" w:color="auto" w:fill="auto"/>
            <w:vAlign w:val="center"/>
          </w:tcPr>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Módulo 3</w:t>
            </w:r>
          </w:p>
        </w:tc>
      </w:tr>
      <w:tr w:rsidR="00776AD9" w:rsidRPr="00776AD9" w:rsidTr="00154692">
        <w:tc>
          <w:tcPr>
            <w:tcW w:w="125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Competencias de cada Módulo</w:t>
            </w:r>
          </w:p>
        </w:tc>
        <w:tc>
          <w:tcPr>
            <w:tcW w:w="125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Identificar las normas de seguridad en operación de un DRON, de acuerdo condiciones climáticas y a la normativa legal vigente.</w:t>
            </w:r>
          </w:p>
        </w:tc>
        <w:tc>
          <w:tcPr>
            <w:tcW w:w="125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Reconocer los elementos y sistemas que componen tanto un DRON como su unidad de control considerando, tipos, diseño, categorías y características propias </w:t>
            </w:r>
          </w:p>
        </w:tc>
        <w:tc>
          <w:tcPr>
            <w:tcW w:w="125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Realizar operación de un DRON bajo condiciones de seguridad y cuidado de la privacidad de las personas, </w:t>
            </w:r>
            <w:proofErr w:type="gramStart"/>
            <w:r w:rsidRPr="00776AD9">
              <w:rPr>
                <w:rFonts w:eastAsia="Times New Roman" w:cs="Times New Roman"/>
                <w:color w:val="000000" w:themeColor="text1"/>
                <w:lang w:val="es-ES" w:eastAsia="es-ES"/>
              </w:rPr>
              <w:t>de acuerdo a</w:t>
            </w:r>
            <w:proofErr w:type="gramEnd"/>
            <w:r w:rsidRPr="00776AD9">
              <w:rPr>
                <w:rFonts w:eastAsia="Times New Roman" w:cs="Times New Roman"/>
                <w:color w:val="000000" w:themeColor="text1"/>
                <w:lang w:val="es-ES" w:eastAsia="es-ES"/>
              </w:rPr>
              <w:t xml:space="preserve"> normativa aeronáutica vigente</w:t>
            </w:r>
          </w:p>
        </w:tc>
      </w:tr>
    </w:tbl>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bookmarkStart w:id="2" w:name="_Hlk41440003"/>
      <w:r w:rsidRPr="00776AD9">
        <w:rPr>
          <w:rFonts w:eastAsia="Times New Roman" w:cs="Times New Roman"/>
          <w:b/>
          <w:color w:val="000000" w:themeColor="text1"/>
          <w:lang w:val="es-ES" w:eastAsia="es-ES"/>
        </w:rPr>
        <w:t>Aprendizajes Esperados</w:t>
      </w:r>
      <w:r w:rsidRPr="00776AD9">
        <w:rPr>
          <w:rFonts w:eastAsia="Times New Roman" w:cs="Times New Roman"/>
          <w:color w:val="000000" w:themeColor="text1"/>
          <w:lang w:val="es-ES" w:eastAsia="es-ES"/>
        </w:rPr>
        <w:t xml:space="preserve">: </w:t>
      </w:r>
    </w:p>
    <w:p w:rsidR="00776AD9" w:rsidRPr="00776AD9" w:rsidRDefault="00776AD9" w:rsidP="00776AD9">
      <w:pPr>
        <w:spacing w:after="0" w:line="240" w:lineRule="auto"/>
        <w:jc w:val="both"/>
        <w:rPr>
          <w:rFonts w:eastAsia="Times New Roman" w:cs="Times New Roman"/>
          <w:color w:val="000000" w:themeColor="text1"/>
          <w:lang w:val="es-ES" w:eastAsia="es-ES"/>
        </w:rPr>
      </w:pPr>
      <w:bookmarkStart w:id="3" w:name="_Hlk41389496"/>
      <w:bookmarkStart w:id="4" w:name="_Hlk41440043"/>
      <w:bookmarkEnd w:id="2"/>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Los aprendizajes esperados u objetivos de aprendizajes son lo</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que se espera que una persona logre al finalizar un proceso de aprendizaje. Son específicos, observables, medibles, relevantes y factibles de lograr en un contexto de aprendizaje</w:t>
      </w:r>
      <w:bookmarkEnd w:id="3"/>
      <w:r w:rsidRPr="00776AD9">
        <w:rPr>
          <w:rFonts w:eastAsia="Times New Roman" w:cs="Times New Roman"/>
          <w:color w:val="000000" w:themeColor="text1"/>
          <w:lang w:val="es-ES" w:eastAsia="es-ES"/>
        </w:rPr>
        <w:t>.</w:t>
      </w:r>
      <w:bookmarkEnd w:id="4"/>
      <w:r w:rsidRPr="00776AD9">
        <w:rPr>
          <w:rFonts w:eastAsia="Times New Roman" w:cs="Times New Roman"/>
          <w:color w:val="000000" w:themeColor="text1"/>
          <w:lang w:val="es-ES" w:eastAsia="es-ES"/>
        </w:rPr>
        <w:t xml:space="preserve"> Se organizan de manera tal que avanzan en complejidad (ascenso taxonómico) y de acuerdo con las subfunciones descritas en la Competencia del Módulo. Integra los conocimientos, habilidades, destrezas, herramientas y actitudes fundamentales requeridas. Asimismo, deberá referirse a los distintos tipos de conocimientos, habilidades o destrezas, estrategias cognitivas y actitudes requeridas para el logro de la competencia del módulo, así por ejemplo podrán establecerse los aprendizajes en relación a: reconocimiento de conceptos básicos y principios teóricos; conocimiento y manejo de técnicas determinadas; desarrollo de habilidades determinadas para una operación en concreto; análisis, evaluación o interpretación de datos en una situación determinada; reconocimiento de manejo y uso de herramientas o equipos de trabajo necesarios para la ocupación; resolución de conflictos o problemas relacionados a la actividad; desarrollo de actitudes laborales requeridas para el oficio; definición de criterios de desempeño laboral; entre otros. </w:t>
      </w:r>
      <w:bookmarkStart w:id="5" w:name="_Hlk41440120"/>
      <w:r w:rsidRPr="00776AD9">
        <w:rPr>
          <w:rFonts w:eastAsia="Times New Roman" w:cs="Times New Roman"/>
          <w:color w:val="000000" w:themeColor="text1"/>
          <w:lang w:val="es-ES" w:eastAsia="es-ES"/>
        </w:rPr>
        <w:t xml:space="preserve">El desarrollo de éstos debe respetar la estructura de </w:t>
      </w:r>
      <w:r w:rsidRPr="00776AD9">
        <w:rPr>
          <w:rFonts w:eastAsia="Times New Roman" w:cs="Times New Roman"/>
          <w:b/>
          <w:color w:val="000000" w:themeColor="text1"/>
          <w:lang w:val="es-ES" w:eastAsia="es-ES"/>
        </w:rPr>
        <w:t>verbo + objeto + condición</w:t>
      </w:r>
      <w:r w:rsidRPr="00776AD9">
        <w:rPr>
          <w:rFonts w:eastAsia="Times New Roman" w:cs="Times New Roman"/>
          <w:color w:val="000000" w:themeColor="text1"/>
          <w:lang w:val="es-ES" w:eastAsia="es-ES"/>
        </w:rPr>
        <w:t xml:space="preserve">, es decir, debe utilizar un verbo en modo infinitivo (terminación ar, </w:t>
      </w:r>
      <w:proofErr w:type="spellStart"/>
      <w:r w:rsidRPr="00776AD9">
        <w:rPr>
          <w:rFonts w:eastAsia="Times New Roman" w:cs="Times New Roman"/>
          <w:color w:val="000000" w:themeColor="text1"/>
          <w:lang w:val="es-ES" w:eastAsia="es-ES"/>
        </w:rPr>
        <w:t>er</w:t>
      </w:r>
      <w:proofErr w:type="spellEnd"/>
      <w:r w:rsidRPr="00776AD9">
        <w:rPr>
          <w:rFonts w:eastAsia="Times New Roman" w:cs="Times New Roman"/>
          <w:color w:val="000000" w:themeColor="text1"/>
          <w:lang w:val="es-ES" w:eastAsia="es-ES"/>
        </w:rPr>
        <w:t>, ir), más un objeto donde recae la acción/verbo y un contexto o condición en el cual la acción/verbo se realiza</w:t>
      </w:r>
      <w:bookmarkEnd w:id="5"/>
      <w:r w:rsidRPr="00776AD9">
        <w:rPr>
          <w:rFonts w:eastAsia="Times New Roman" w:cs="Times New Roman"/>
          <w:color w:val="000000" w:themeColor="text1"/>
          <w:lang w:val="es-ES" w:eastAsia="es-ES"/>
        </w:rPr>
        <w:t>.</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El oferente </w:t>
      </w:r>
      <w:r w:rsidRPr="00776AD9">
        <w:rPr>
          <w:rFonts w:eastAsia="Times New Roman" w:cs="Times New Roman"/>
          <w:b/>
          <w:color w:val="000000" w:themeColor="text1"/>
          <w:lang w:val="es-ES" w:eastAsia="es-ES"/>
        </w:rPr>
        <w:t>debe</w:t>
      </w:r>
      <w:r w:rsidRPr="00776AD9">
        <w:rPr>
          <w:rFonts w:eastAsia="Times New Roman" w:cs="Times New Roman"/>
          <w:color w:val="000000" w:themeColor="text1"/>
          <w:lang w:val="es-ES" w:eastAsia="es-ES"/>
        </w:rPr>
        <w:t xml:space="preserve"> desarrollar, a lo menos, 2 aprendizajes esperados por módulo.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Criterios de Evaluación: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Los criterios son enunciados que permiten determinar los elementos mínimos de evaluación en la desagregación de acciones, saberes y actitudes. Deben ser redactados a partir de un verbo en presente, más el objeto y condición, considerando aquellas tareas u operaciones significativas para el desarrollo de las capacidades requeridas.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Los verbos deben estar en función de una tarea y deben ser formulados en tercera persona singular ejemplo: ejecuta, verifica, identifica, etc.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El oferente </w:t>
      </w:r>
      <w:r w:rsidRPr="00776AD9">
        <w:rPr>
          <w:rFonts w:eastAsia="Times New Roman" w:cs="Times New Roman"/>
          <w:b/>
          <w:color w:val="000000" w:themeColor="text1"/>
          <w:lang w:val="es-ES" w:eastAsia="es-ES"/>
        </w:rPr>
        <w:t>debe</w:t>
      </w:r>
      <w:r w:rsidRPr="00776AD9">
        <w:rPr>
          <w:rFonts w:eastAsia="Times New Roman" w:cs="Times New Roman"/>
          <w:color w:val="000000" w:themeColor="text1"/>
          <w:lang w:val="es-ES" w:eastAsia="es-ES"/>
        </w:rPr>
        <w:t xml:space="preserve"> desarrollar, a lo menos, 2 criterios de evaluación que evidencien el cumplimiento de los aprendizajes.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Por ejemplo:</w:t>
      </w:r>
    </w:p>
    <w:p w:rsidR="00776AD9" w:rsidRPr="00776AD9" w:rsidRDefault="00776AD9" w:rsidP="00776AD9">
      <w:pPr>
        <w:spacing w:after="0" w:line="240" w:lineRule="auto"/>
        <w:jc w:val="both"/>
        <w:rPr>
          <w:rFonts w:eastAsia="Times New Roman" w:cs="Times New Roman"/>
          <w:color w:val="000000" w:themeColor="text1"/>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8"/>
        <w:gridCol w:w="2476"/>
        <w:gridCol w:w="2477"/>
        <w:gridCol w:w="2477"/>
      </w:tblGrid>
      <w:tr w:rsidR="00776AD9" w:rsidRPr="00776AD9" w:rsidTr="00154692">
        <w:tc>
          <w:tcPr>
            <w:tcW w:w="69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Competencia módulo 2</w:t>
            </w:r>
          </w:p>
          <w:p w:rsidR="00776AD9" w:rsidRPr="00776AD9" w:rsidRDefault="00776AD9" w:rsidP="00776AD9">
            <w:pPr>
              <w:spacing w:after="0" w:line="240" w:lineRule="auto"/>
              <w:jc w:val="both"/>
              <w:rPr>
                <w:rFonts w:eastAsia="Times New Roman" w:cs="Times New Roman"/>
                <w:color w:val="000000" w:themeColor="text1"/>
                <w:lang w:val="es-ES" w:eastAsia="es-ES"/>
              </w:rPr>
            </w:pPr>
          </w:p>
        </w:tc>
        <w:tc>
          <w:tcPr>
            <w:tcW w:w="4305" w:type="pct"/>
            <w:gridSpan w:val="3"/>
            <w:shd w:val="clear" w:color="auto" w:fill="auto"/>
            <w:vAlign w:val="center"/>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Reconocer los elementos y sistemas que componen tanto un DRON como su unidad de control considerando, tipos, diseño, categorías y características propias</w:t>
            </w:r>
          </w:p>
        </w:tc>
      </w:tr>
      <w:tr w:rsidR="00776AD9" w:rsidRPr="00776AD9" w:rsidTr="00154692">
        <w:tc>
          <w:tcPr>
            <w:tcW w:w="69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Aprendizajes Esperados</w:t>
            </w:r>
          </w:p>
        </w:tc>
        <w:tc>
          <w:tcPr>
            <w:tcW w:w="143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Determinar los sistemas que componen un RPA, según especificaciones técnicas.</w:t>
            </w:r>
          </w:p>
        </w:tc>
        <w:tc>
          <w:tcPr>
            <w:tcW w:w="143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Comprobar el funcionamiento de la estación de control y de los sensores que permiten la navegación de un DRON, según especificaciones técnicas.</w:t>
            </w:r>
          </w:p>
        </w:tc>
        <w:tc>
          <w:tcPr>
            <w:tcW w:w="143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Verificar los componentes y los sistemas de seguridad de los instrumentos de la estación de control, según sus características y su funcionalidad</w:t>
            </w:r>
          </w:p>
        </w:tc>
      </w:tr>
      <w:tr w:rsidR="00776AD9" w:rsidRPr="00776AD9" w:rsidTr="00154692">
        <w:tc>
          <w:tcPr>
            <w:tcW w:w="69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Criterios de Evaluación.</w:t>
            </w:r>
          </w:p>
        </w:tc>
        <w:tc>
          <w:tcPr>
            <w:tcW w:w="1435" w:type="pct"/>
            <w:shd w:val="clear" w:color="auto" w:fill="auto"/>
          </w:tcPr>
          <w:p w:rsidR="00776AD9" w:rsidRPr="00776AD9" w:rsidRDefault="00776AD9" w:rsidP="00776AD9">
            <w:pPr>
              <w:spacing w:after="0" w:line="240" w:lineRule="auto"/>
              <w:ind w:left="-19"/>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Señala las características y resistencia de los materiales empleados en la elaboración de un DRON, según especificaciones técnicas.</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 Describe los fuselajes y tipos de diseño de un DRON, según especificaciones técnicas. </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 Describe los tipos de batería utilizado por los DRON, según voltaje, capacidad y velocidad de carga y descarga. </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Compara los tipos de motores eléctricos utilizados por un DRON, según el tipo de corriente con el que funcionan.</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lastRenderedPageBreak/>
              <w:t>- Examina los componentes externos de un DRON, según su función.</w:t>
            </w:r>
          </w:p>
        </w:tc>
        <w:tc>
          <w:tcPr>
            <w:tcW w:w="143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lastRenderedPageBreak/>
              <w:t xml:space="preserve">- Examina los sensores de un DRON que entregan información a la estación de control. </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Explica cómo se produce la comunicación entre el DRON y la unidad de control en tierra.</w:t>
            </w:r>
          </w:p>
        </w:tc>
        <w:tc>
          <w:tcPr>
            <w:tcW w:w="1435"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 Determina los elementos fundamentales de una estación de control, </w:t>
            </w:r>
            <w:proofErr w:type="gramStart"/>
            <w:r w:rsidRPr="00776AD9">
              <w:rPr>
                <w:rFonts w:eastAsia="Times New Roman" w:cs="Times New Roman"/>
                <w:color w:val="000000" w:themeColor="text1"/>
                <w:lang w:val="es-ES" w:eastAsia="es-ES"/>
              </w:rPr>
              <w:t>de acuerdo a</w:t>
            </w:r>
            <w:proofErr w:type="gramEnd"/>
            <w:r w:rsidRPr="00776AD9">
              <w:rPr>
                <w:rFonts w:eastAsia="Times New Roman" w:cs="Times New Roman"/>
                <w:color w:val="000000" w:themeColor="text1"/>
                <w:lang w:val="es-ES" w:eastAsia="es-ES"/>
              </w:rPr>
              <w:t xml:space="preserve"> la función que cumple. </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Señala los sistemas de seguridad que facilitan un correcto pilotaje.</w:t>
            </w:r>
          </w:p>
        </w:tc>
      </w:tr>
    </w:tbl>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lang w:val="es-ES" w:eastAsia="es-ES"/>
        </w:rPr>
      </w:pPr>
      <w:r w:rsidRPr="00776AD9">
        <w:rPr>
          <w:rFonts w:eastAsia="Times New Roman" w:cs="Times New Roman"/>
          <w:b/>
          <w:color w:val="000000" w:themeColor="text1"/>
          <w:lang w:val="es-ES" w:eastAsia="es-ES"/>
        </w:rPr>
        <w:t xml:space="preserve">Contenidos: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Hacen referencia a los diferentes conceptos, procedimientos, normas,</w:t>
      </w:r>
      <w:r w:rsidRPr="00776AD9">
        <w:rPr>
          <w:rFonts w:eastAsia="Times New Roman" w:cs="Times New Roman"/>
          <w:b/>
          <w:color w:val="000000" w:themeColor="text1"/>
          <w:lang w:val="es-ES" w:eastAsia="es-ES"/>
        </w:rPr>
        <w:t xml:space="preserve"> </w:t>
      </w:r>
      <w:r w:rsidRPr="00776AD9">
        <w:rPr>
          <w:rFonts w:eastAsia="Times New Roman" w:cs="Times New Roman"/>
          <w:color w:val="000000" w:themeColor="text1"/>
          <w:lang w:val="es-ES" w:eastAsia="es-ES"/>
        </w:rPr>
        <w:t>valores u otro elemento que posibilite el desarrollo formativo por competencias y, en consecuencia, la adquisición de capacidades relacionadas al saber, saber hacer y saber ser. Su redacción debe contener un título numerado que lo identifique a la unidad didáctica respectiva, comenzando por un tema central hacia subtemas que se requieran. Ejemplo: Peligros de la actividad: Concepto de riesgo. Concepto de accidente. Concepto de enfermedad profesional. Ley 16.744 de protección de los trabajadores. Riesgos operacionales típicos: cortes.</w:t>
      </w:r>
    </w:p>
    <w:p w:rsidR="00776AD9" w:rsidRPr="00776AD9" w:rsidRDefault="00776AD9" w:rsidP="00776AD9">
      <w:pPr>
        <w:spacing w:after="0" w:line="240" w:lineRule="auto"/>
        <w:jc w:val="both"/>
        <w:rPr>
          <w:rFonts w:eastAsia="Times New Roman" w:cs="Times New Roman"/>
          <w:color w:val="000000" w:themeColor="text1"/>
          <w:lang w:val="es-ES"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7"/>
        <w:gridCol w:w="7451"/>
      </w:tblGrid>
      <w:tr w:rsidR="00776AD9" w:rsidRPr="00776AD9" w:rsidTr="00154692">
        <w:tc>
          <w:tcPr>
            <w:tcW w:w="78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Aprendizaje</w:t>
            </w:r>
          </w:p>
        </w:tc>
        <w:tc>
          <w:tcPr>
            <w:tcW w:w="422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Comprobar el funcionamiento de la estación de control y de los sensores que permiten la navegación de un DRON, según especificaciones técnicas.</w:t>
            </w:r>
          </w:p>
        </w:tc>
      </w:tr>
      <w:tr w:rsidR="00776AD9" w:rsidRPr="00776AD9" w:rsidTr="00154692">
        <w:tc>
          <w:tcPr>
            <w:tcW w:w="78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Criterios de Evaluación</w:t>
            </w:r>
          </w:p>
        </w:tc>
        <w:tc>
          <w:tcPr>
            <w:tcW w:w="422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 Examina los sensores de un DRON que entregan información a la estación de control. </w:t>
            </w: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Explica cómo se produce la comunicación entre el DRON y la unidad de control en tierra.</w:t>
            </w:r>
          </w:p>
        </w:tc>
      </w:tr>
      <w:tr w:rsidR="00776AD9" w:rsidRPr="00776AD9" w:rsidTr="00154692">
        <w:tc>
          <w:tcPr>
            <w:tcW w:w="78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Contenidos</w:t>
            </w:r>
          </w:p>
        </w:tc>
        <w:tc>
          <w:tcPr>
            <w:tcW w:w="4220" w:type="pct"/>
            <w:shd w:val="clear" w:color="auto" w:fill="auto"/>
          </w:tcPr>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Funcionamiento del sistema de control y sensores de un RPA. *Sensores de los RPA: De altitud y altura; de régimen de variación de altura; de velocidad; de rumbo; de actitud; de posición. *Sistema de control del RPA: Señales electromagnéticas, rango de radio frecuencias; alcance emisión; modulación de señal. Codificación de la señal: PPM; PCM. Tiempo de latencia.</w:t>
            </w:r>
          </w:p>
        </w:tc>
      </w:tr>
    </w:tbl>
    <w:p w:rsidR="00776AD9" w:rsidRPr="00776AD9" w:rsidRDefault="00776AD9" w:rsidP="00776AD9">
      <w:pPr>
        <w:spacing w:after="0" w:line="240" w:lineRule="auto"/>
        <w:jc w:val="both"/>
        <w:rPr>
          <w:rFonts w:eastAsia="Times New Roman" w:cs="Times New Roman"/>
          <w:b/>
          <w:color w:val="000000" w:themeColor="text1"/>
          <w:lang w:val="es-ES" w:eastAsia="es-ES"/>
        </w:rPr>
      </w:pPr>
    </w:p>
    <w:p w:rsidR="00776AD9" w:rsidRPr="00776AD9" w:rsidRDefault="00776AD9" w:rsidP="00776AD9">
      <w:pPr>
        <w:numPr>
          <w:ilvl w:val="0"/>
          <w:numId w:val="11"/>
        </w:numPr>
        <w:spacing w:after="0" w:line="240" w:lineRule="auto"/>
        <w:jc w:val="both"/>
        <w:rPr>
          <w:rFonts w:eastAsia="Times New Roman" w:cs="Times New Roman"/>
          <w:b/>
          <w:color w:val="000000" w:themeColor="text1"/>
          <w:u w:val="single"/>
          <w:lang w:val="es-ES" w:eastAsia="es-ES"/>
        </w:rPr>
      </w:pPr>
      <w:bookmarkStart w:id="6" w:name="_Hlk41391731"/>
      <w:r w:rsidRPr="00776AD9">
        <w:rPr>
          <w:rFonts w:eastAsia="Times New Roman" w:cs="Times New Roman"/>
          <w:b/>
          <w:color w:val="000000" w:themeColor="text1"/>
          <w:u w:val="single"/>
          <w:lang w:val="es-ES" w:eastAsia="es-ES"/>
        </w:rPr>
        <w:t>Metodología Cursos Presencial</w:t>
      </w:r>
    </w:p>
    <w:bookmarkEnd w:id="6"/>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Mecanismos recomendados para la transferencia y aseguramiento de la adquisición de conocimientos y competencia del módulo, a los participantes del curso, la que deberá responder a 4 preguntas claves para el desarrollo del plan formativo: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widowControl w:val="0"/>
        <w:numPr>
          <w:ilvl w:val="0"/>
          <w:numId w:val="4"/>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¿Qué va a hacer? (estrategia de aprendizaje)</w:t>
      </w:r>
    </w:p>
    <w:p w:rsidR="00776AD9" w:rsidRPr="00776AD9" w:rsidRDefault="00776AD9" w:rsidP="00776AD9">
      <w:pPr>
        <w:widowControl w:val="0"/>
        <w:numPr>
          <w:ilvl w:val="0"/>
          <w:numId w:val="4"/>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¿Cómo lo van a hacer? (actividades didácticas)</w:t>
      </w:r>
    </w:p>
    <w:p w:rsidR="00776AD9" w:rsidRPr="00776AD9" w:rsidRDefault="00776AD9" w:rsidP="00776AD9">
      <w:pPr>
        <w:widowControl w:val="0"/>
        <w:numPr>
          <w:ilvl w:val="0"/>
          <w:numId w:val="4"/>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¿Con qué lo van a hacer? (medios soportes)</w:t>
      </w:r>
    </w:p>
    <w:p w:rsidR="00776AD9" w:rsidRPr="00776AD9" w:rsidRDefault="00776AD9" w:rsidP="00776AD9">
      <w:pPr>
        <w:widowControl w:val="0"/>
        <w:numPr>
          <w:ilvl w:val="0"/>
          <w:numId w:val="4"/>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¿Dónde lo realizará y cómo se agruparán? (lugar e infraestructura y distribución de las participantes)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La metodología debe poner atención a la diversidad presente en los participantes, considerando factores culturales, sociales, étnicos, de género, de estilos de aprendizaje y de niveles de conocimiento entre otros.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Para diseñar atendiendo a la diversidad es necesario:</w:t>
      </w:r>
    </w:p>
    <w:p w:rsidR="00776AD9" w:rsidRPr="00776AD9" w:rsidRDefault="00776AD9" w:rsidP="00776AD9">
      <w:pPr>
        <w:widowControl w:val="0"/>
        <w:numPr>
          <w:ilvl w:val="0"/>
          <w:numId w:val="3"/>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Promover un trabajo sistémico con actividades variadas para los diferentes estilos de aprendizaje procurando que todos tengan acceso a las oportunidades de aprendizaje que se proponen.</w:t>
      </w:r>
    </w:p>
    <w:p w:rsidR="00776AD9" w:rsidRPr="00776AD9" w:rsidRDefault="00776AD9" w:rsidP="00776AD9">
      <w:pPr>
        <w:widowControl w:val="0"/>
        <w:numPr>
          <w:ilvl w:val="0"/>
          <w:numId w:val="3"/>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lastRenderedPageBreak/>
        <w:t>Diseñar experiencias de aprendizaje que se acomoden a las particularidades e intereses de los participantes. Mientras más información se tenga del grupo objetivo más pertinente podrá ser el diseño.</w:t>
      </w:r>
    </w:p>
    <w:p w:rsidR="00776AD9" w:rsidRPr="00776AD9" w:rsidRDefault="00776AD9" w:rsidP="00776AD9">
      <w:pPr>
        <w:widowControl w:val="0"/>
        <w:numPr>
          <w:ilvl w:val="0"/>
          <w:numId w:val="3"/>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Proveer igualdad de oportunidades, asegurando que todos los participantes puedan contribuir de igual manera, evitando estereotipos asociados a género y a características físicas.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Para la Metodología se deben proponer estrategias de aprendizaje y actividades suficientes que permitan desarrollar el proceso de aprendizaje, para lo cual se debe realizar:</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widowControl w:val="0"/>
        <w:numPr>
          <w:ilvl w:val="0"/>
          <w:numId w:val="1"/>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La descripción de actividades: se refiere a las estrategias metodológicas posibles de aplicar durante la realización del aprendizaje esperado, en función de lo que se pretende lograr.</w:t>
      </w:r>
    </w:p>
    <w:p w:rsidR="00776AD9" w:rsidRPr="00776AD9" w:rsidRDefault="00776AD9" w:rsidP="00776AD9">
      <w:pPr>
        <w:widowControl w:val="0"/>
        <w:numPr>
          <w:ilvl w:val="0"/>
          <w:numId w:val="1"/>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Uso de equipamiento y material didáctico: se refiere a la forma en cómo se utilizarán el equipamiento y el material didáctico en función de lograr el desarrollo de las actividades de aprendizaje</w:t>
      </w:r>
    </w:p>
    <w:p w:rsidR="00776AD9" w:rsidRPr="00776AD9" w:rsidRDefault="00776AD9" w:rsidP="00776AD9">
      <w:pPr>
        <w:widowControl w:val="0"/>
        <w:numPr>
          <w:ilvl w:val="0"/>
          <w:numId w:val="1"/>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Organización de la actividad: es decir, si las actividades de aprendizaje serán individual o grupales.</w:t>
      </w:r>
    </w:p>
    <w:p w:rsidR="00776AD9" w:rsidRPr="00776AD9" w:rsidRDefault="00776AD9" w:rsidP="00776AD9">
      <w:pPr>
        <w:widowControl w:val="0"/>
        <w:numPr>
          <w:ilvl w:val="0"/>
          <w:numId w:val="1"/>
        </w:numPr>
        <w:autoSpaceDE w:val="0"/>
        <w:autoSpaceDN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Selección de técnicas didácticas para lograr habilidades: es decir determinar de qué manera se realizará el proceso en que los participantes internalizarán los contenidos y lograrán los aprendizajes esperados. Algunas metodologías propias de la formación por competencias son: juego de roles, trabajo colaborativo, simulación, análisis de casos, aprendizaje basado en problemas, entre otros.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En síntesis, la metodología debe indicar cómo se desarrolla el proceso de enseñanza aprendizaje como una experiencia de aprendizaje, en donde debe quedar clara la función del facilitador tanto en su labor teórica, como respecto a su ayuda para la actividad práctica en pro del participante. En el aspecto práctico, priorizar metodologías participativas. Indicar cómo se organizarán los trabajos (individual, grupal –cantidad). Señalar el uso de equipos y medios didácticos (además del material de consumo si es que procediere) e indicar dónde se realizará la actividad práctica, si es que procediere.</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u w:val="single"/>
          <w:lang w:val="es-ES" w:eastAsia="es-ES"/>
        </w:rPr>
        <w:t>Por ejemplo</w:t>
      </w:r>
      <w:r w:rsidRPr="00776AD9">
        <w:rPr>
          <w:rFonts w:eastAsia="Times New Roman" w:cs="Times New Roman"/>
          <w:color w:val="000000" w:themeColor="text1"/>
          <w:lang w:val="es-ES" w:eastAsia="es-ES"/>
        </w:rPr>
        <w:t>:</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Una parte del módulo se desarrolla dentro de la sala clases con la exposición del relator, quien mediante la presentación de diapositivas presenta los elementos y sistemas de un DRON y su Unidad de Control. Los participantes leerán extractos del manual del curso, reconociendo los componentes de un Dron a través de las distintas diapositivas. Posteriormente, en grupos de no más de cuatro, los participantes identificarán dichos componentes en un DRON real que cada grupo tendrá en su poder. Además, a través de videos y aplicando el trabajo en el DRON identificarán las funciones de cada componente, cuáles son las fallas más comunes en la operación y cómo éstos se pueden solucionar, además identificarán las distintas técnicas de operación a partir de los videos. Se realizarán algunos ejercicios de resolución de problemas en que los participantes, trabajando en duplas, deberán encontrar la solución a diversos problemas relacionados con los componentes de un DRON, así como de problemas relacionados con la manipulación incorrecta de la Unidad de Control de un DRON que se les presentará. Posteriormente, en el en el patio de maniobras, los participantes se reunirán nuevamente en grupos de cuatro y a través de la metodología de trabajo colaborativo, utilizarán los distintos comandos de la Unidad de Control, sin llegar a elevar a más de 2 metros el DRON (la operación real corresponde al siguiente módulo).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Por último, nuevamente se reunirá a los 4 grupos en la sala y harán una exposición de los problemas que pudieron haberse presentado en la operación, se consultará a los observadores si pudieron identificar los mismos problemas que sus compañeros.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color w:val="000000" w:themeColor="text1"/>
          <w:u w:val="single"/>
          <w:lang w:val="es-ES" w:eastAsia="es-ES"/>
        </w:rPr>
      </w:pPr>
      <w:r w:rsidRPr="00776AD9">
        <w:rPr>
          <w:rFonts w:eastAsia="Times New Roman" w:cs="Times New Roman"/>
          <w:b/>
          <w:color w:val="000000" w:themeColor="text1"/>
          <w:u w:val="single"/>
          <w:lang w:val="es-ES" w:eastAsia="es-ES"/>
        </w:rPr>
        <w:t>Conceptos y definiciones claves a considerar en la Metodología:</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b/>
          <w:color w:val="000000" w:themeColor="text1"/>
          <w:lang w:val="es-ES" w:eastAsia="es-ES"/>
        </w:rPr>
        <w:t>Actividades didácticas:</w:t>
      </w:r>
      <w:r w:rsidRPr="00776AD9">
        <w:rPr>
          <w:rFonts w:eastAsia="Times New Roman" w:cs="Times New Roman"/>
          <w:color w:val="000000" w:themeColor="text1"/>
          <w:lang w:val="es-ES" w:eastAsia="es-ES"/>
        </w:rPr>
        <w:t xml:space="preserve"> Son las acciones que se emplean para hacer significativo un tipo de aprendizaje, por ejemplo: Juego de Roles, simulaciones, gamificaciones, entre otras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b/>
          <w:color w:val="000000" w:themeColor="text1"/>
          <w:lang w:val="es-ES" w:eastAsia="es-ES"/>
        </w:rPr>
        <w:t>Recursos didácticos:</w:t>
      </w:r>
      <w:r w:rsidRPr="00776AD9">
        <w:rPr>
          <w:rFonts w:eastAsia="Times New Roman" w:cs="Times New Roman"/>
          <w:color w:val="000000" w:themeColor="text1"/>
          <w:lang w:val="es-ES" w:eastAsia="es-ES"/>
        </w:rPr>
        <w:t xml:space="preserve"> Son aquellos recursos y herramientas que sirven para complementar las estrategias y actividades didácticas del proceso metodológico, como, por ejemplo: proyector, pizarrón, papelógrafo, Tablet, videos, recursos tecnológicos, entre otros.</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b/>
          <w:color w:val="000000" w:themeColor="text1"/>
          <w:lang w:val="es-ES" w:eastAsia="es-ES"/>
        </w:rPr>
        <w:t>Equipos y herramientas:</w:t>
      </w:r>
      <w:r w:rsidRPr="00776AD9">
        <w:rPr>
          <w:rFonts w:eastAsia="Times New Roman" w:cs="Times New Roman"/>
          <w:color w:val="000000" w:themeColor="text1"/>
          <w:lang w:val="es-ES" w:eastAsia="es-ES"/>
        </w:rPr>
        <w:t xml:space="preserve"> Contempla el detalle de Equipos y Herramientas, todos en cantidad suficiente para la ejecución según cupos del curso y todo lo que se establezca en este ítem resulta vinculante para efectos de ejecución.</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b/>
          <w:i/>
          <w:color w:val="000000" w:themeColor="text1"/>
          <w:lang w:val="es-ES" w:eastAsia="es-ES"/>
        </w:rPr>
      </w:pPr>
      <w:r w:rsidRPr="00776AD9">
        <w:rPr>
          <w:rFonts w:eastAsia="Times New Roman" w:cs="Times New Roman"/>
          <w:b/>
          <w:i/>
          <w:color w:val="000000" w:themeColor="text1"/>
          <w:lang w:val="es-ES" w:eastAsia="es-ES"/>
        </w:rPr>
        <w:t>Se medirá la coherencia entre los equipos y herramientas propuestos para la ejecución con los diferentes módulos del Plan Formativo.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El proponente deberá declarar, describir y cuantificar los equipos y herramientas, en cantidad suficiente y adecuada para atender al número de participantes establecidos para cada curso.</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b/>
          <w:color w:val="000000" w:themeColor="text1"/>
          <w:lang w:val="es-ES" w:eastAsia="es-ES"/>
        </w:rPr>
        <w:t>Materiales e insumos:</w:t>
      </w:r>
      <w:r w:rsidRPr="00776AD9">
        <w:rPr>
          <w:rFonts w:eastAsia="Times New Roman" w:cs="Times New Roman"/>
          <w:color w:val="000000" w:themeColor="text1"/>
          <w:lang w:val="es-ES" w:eastAsia="es-ES"/>
        </w:rPr>
        <w:t xml:space="preserve"> Son todos aquellos implementos que sirven para realizar el curso y que se pueden denominar materias primas, especialmente útiles para realizar las diferentes actividades y procesos. Debe haber coherencia entre estos, tanto en su tipo como en sus cantidades, para lograr la competencia de cada uno de los módulos.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spacing w:after="0" w:line="240" w:lineRule="auto"/>
        <w:jc w:val="both"/>
        <w:rPr>
          <w:rFonts w:eastAsia="Times New Roman" w:cs="Times New Roman"/>
          <w:color w:val="000000" w:themeColor="text1"/>
          <w:lang w:val="es-ES" w:eastAsia="es-ES"/>
        </w:rPr>
      </w:pPr>
      <w:r w:rsidRPr="00776AD9">
        <w:rPr>
          <w:rFonts w:eastAsia="Times New Roman" w:cs="Times New Roman"/>
          <w:b/>
          <w:color w:val="000000" w:themeColor="text1"/>
          <w:lang w:val="es-ES" w:eastAsia="es-ES"/>
        </w:rPr>
        <w:t>Infraestructura:</w:t>
      </w:r>
      <w:r w:rsidRPr="00776AD9">
        <w:rPr>
          <w:rFonts w:eastAsia="Times New Roman" w:cs="Times New Roman"/>
          <w:color w:val="000000" w:themeColor="text1"/>
          <w:lang w:val="es-ES" w:eastAsia="es-ES"/>
        </w:rPr>
        <w:t xml:space="preserve"> Es el conjunto de medios técnicos, servicios e instalaciones necesarios para el desarrollo de una actividad, por ejemplo: sala de clases, gimnasio, patio de maniobras, taller, entre otros. </w:t>
      </w:r>
    </w:p>
    <w:p w:rsidR="00776AD9" w:rsidRPr="00776AD9" w:rsidRDefault="00776AD9" w:rsidP="00776AD9">
      <w:pPr>
        <w:spacing w:after="0" w:line="240" w:lineRule="auto"/>
        <w:jc w:val="both"/>
        <w:rPr>
          <w:rFonts w:eastAsia="Times New Roman" w:cs="Times New Roman"/>
          <w:color w:val="000000" w:themeColor="text1"/>
          <w:lang w:val="es-ES" w:eastAsia="es-ES"/>
        </w:rPr>
      </w:pPr>
    </w:p>
    <w:p w:rsidR="00776AD9" w:rsidRPr="00776AD9" w:rsidRDefault="00776AD9" w:rsidP="00776AD9">
      <w:pPr>
        <w:numPr>
          <w:ilvl w:val="0"/>
          <w:numId w:val="11"/>
        </w:numPr>
        <w:spacing w:after="0" w:line="240" w:lineRule="auto"/>
        <w:jc w:val="both"/>
        <w:rPr>
          <w:rFonts w:eastAsia="Arial" w:cs="Times New Roman"/>
          <w:b/>
          <w:color w:val="000000" w:themeColor="text1"/>
          <w:u w:val="single"/>
          <w:lang w:val="es-ES" w:eastAsia="es-ES"/>
        </w:rPr>
      </w:pPr>
      <w:r w:rsidRPr="00776AD9">
        <w:rPr>
          <w:rFonts w:eastAsia="Arial" w:cs="Times New Roman"/>
          <w:color w:val="000000" w:themeColor="text1"/>
          <w:u w:val="single"/>
          <w:lang w:val="es-ES" w:eastAsia="es-ES"/>
        </w:rPr>
        <w:t>Metodología en modalidad a distancia, E-learning</w:t>
      </w:r>
    </w:p>
    <w:p w:rsidR="00776AD9" w:rsidRPr="00776AD9" w:rsidRDefault="00776AD9" w:rsidP="00776AD9">
      <w:pPr>
        <w:autoSpaceDE w:val="0"/>
        <w:autoSpaceDN w:val="0"/>
        <w:adjustRightInd w:val="0"/>
        <w:spacing w:after="0" w:line="240" w:lineRule="auto"/>
        <w:jc w:val="both"/>
        <w:rPr>
          <w:rFonts w:eastAsia="Times New Roman" w:cs="Times New Roman"/>
          <w:color w:val="000000" w:themeColor="text1"/>
          <w:lang w:val="es-ES" w:eastAsia="es-ES"/>
        </w:rPr>
      </w:pPr>
    </w:p>
    <w:p w:rsidR="00776AD9" w:rsidRPr="00776AD9" w:rsidRDefault="00776AD9" w:rsidP="00776AD9">
      <w:pPr>
        <w:autoSpaceDE w:val="0"/>
        <w:autoSpaceDN w:val="0"/>
        <w:adjustRightInd w:val="0"/>
        <w:spacing w:after="0" w:line="240" w:lineRule="auto"/>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Es una capacitación a distancia, ofrecida a través de Internet, que permita a los participantes desarrollar el proceso de enseñanza - aprendizaje de manera integrada, utilizando recursos informáticos de comunicación y producción, provistos a través de las herramientas disponibles en una plataforma digital de gestión del aprendizaje.</w:t>
      </w:r>
    </w:p>
    <w:p w:rsidR="00776AD9" w:rsidRPr="00776AD9" w:rsidRDefault="00776AD9" w:rsidP="00776AD9">
      <w:pPr>
        <w:spacing w:after="0" w:line="240" w:lineRule="auto"/>
        <w:contextualSpacing/>
        <w:jc w:val="both"/>
        <w:rPr>
          <w:rFonts w:eastAsia="Times New Roman" w:cs="Times New Roman"/>
          <w:color w:val="000000" w:themeColor="text1"/>
          <w:lang w:eastAsia="es-CL"/>
        </w:rPr>
      </w:pPr>
    </w:p>
    <w:p w:rsidR="00776AD9" w:rsidRPr="00776AD9" w:rsidRDefault="00776AD9" w:rsidP="00776AD9">
      <w:pPr>
        <w:spacing w:after="0" w:line="240" w:lineRule="auto"/>
        <w:contextualSpacing/>
        <w:jc w:val="both"/>
        <w:rPr>
          <w:rFonts w:eastAsia="Times New Roman" w:cs="Times New Roman"/>
          <w:color w:val="000000" w:themeColor="text1"/>
          <w:lang w:eastAsia="es-CL"/>
        </w:rPr>
      </w:pPr>
      <w:r w:rsidRPr="00776AD9">
        <w:rPr>
          <w:rFonts w:eastAsia="Times New Roman" w:cs="Times New Roman"/>
          <w:color w:val="000000" w:themeColor="text1"/>
          <w:lang w:eastAsia="es-CL"/>
        </w:rPr>
        <w:t>La modalidad a distancia, E-learning, es el mecanismo recomendado para la transferencia y aseguramiento de la adquisición de competencias del módulo a los participantes del curso, en ese sentido la metodología, deberá responder 3 preguntas claves para el desarrollo del módulo seleccionado y por extensión del plan formativo:</w:t>
      </w:r>
    </w:p>
    <w:p w:rsidR="00776AD9" w:rsidRPr="00776AD9" w:rsidRDefault="00776AD9" w:rsidP="00776AD9">
      <w:pPr>
        <w:spacing w:after="0" w:line="240" w:lineRule="auto"/>
        <w:contextualSpacing/>
        <w:jc w:val="both"/>
        <w:rPr>
          <w:rFonts w:eastAsia="Times New Roman" w:cs="Times New Roman"/>
          <w:color w:val="000000" w:themeColor="text1"/>
          <w:lang w:eastAsia="es-CL"/>
        </w:rPr>
      </w:pPr>
    </w:p>
    <w:p w:rsidR="00776AD9" w:rsidRPr="00776AD9" w:rsidRDefault="00776AD9" w:rsidP="00776AD9">
      <w:pPr>
        <w:widowControl w:val="0"/>
        <w:numPr>
          <w:ilvl w:val="0"/>
          <w:numId w:val="4"/>
        </w:numPr>
        <w:autoSpaceDE w:val="0"/>
        <w:autoSpaceDN w:val="0"/>
        <w:spacing w:after="0" w:line="240" w:lineRule="auto"/>
        <w:contextualSpacing/>
        <w:jc w:val="both"/>
        <w:rPr>
          <w:rFonts w:eastAsia="Times New Roman" w:cs="Times New Roman"/>
          <w:color w:val="000000" w:themeColor="text1"/>
          <w:lang w:eastAsia="es-CL"/>
        </w:rPr>
      </w:pPr>
      <w:r w:rsidRPr="00776AD9">
        <w:rPr>
          <w:rFonts w:eastAsia="Times New Roman" w:cs="Times New Roman"/>
          <w:color w:val="000000" w:themeColor="text1"/>
          <w:lang w:eastAsia="es-CL"/>
        </w:rPr>
        <w:t>¿Qué herramientas tecnológicas debe conocer el participante para iniciar la capacitación? (inducción Tecnológica y Metodológica)</w:t>
      </w:r>
    </w:p>
    <w:p w:rsidR="00776AD9" w:rsidRPr="00776AD9" w:rsidRDefault="00776AD9" w:rsidP="00776AD9">
      <w:pPr>
        <w:widowControl w:val="0"/>
        <w:numPr>
          <w:ilvl w:val="0"/>
          <w:numId w:val="4"/>
        </w:numPr>
        <w:autoSpaceDE w:val="0"/>
        <w:autoSpaceDN w:val="0"/>
        <w:spacing w:after="0" w:line="240" w:lineRule="auto"/>
        <w:contextualSpacing/>
        <w:jc w:val="both"/>
        <w:rPr>
          <w:rFonts w:eastAsia="Times New Roman" w:cs="Times New Roman"/>
          <w:color w:val="000000" w:themeColor="text1"/>
          <w:lang w:eastAsia="es-CL"/>
        </w:rPr>
      </w:pPr>
      <w:r w:rsidRPr="00776AD9">
        <w:rPr>
          <w:rFonts w:eastAsia="Times New Roman" w:cs="Times New Roman"/>
          <w:color w:val="000000" w:themeColor="text1"/>
          <w:lang w:eastAsia="es-CL"/>
        </w:rPr>
        <w:t>¿Qué hará el participante?</w:t>
      </w:r>
    </w:p>
    <w:p w:rsidR="00776AD9" w:rsidRPr="00776AD9" w:rsidRDefault="00776AD9" w:rsidP="00776AD9">
      <w:pPr>
        <w:widowControl w:val="0"/>
        <w:numPr>
          <w:ilvl w:val="0"/>
          <w:numId w:val="4"/>
        </w:numPr>
        <w:autoSpaceDE w:val="0"/>
        <w:autoSpaceDN w:val="0"/>
        <w:spacing w:after="0" w:line="240" w:lineRule="auto"/>
        <w:contextualSpacing/>
        <w:jc w:val="both"/>
        <w:rPr>
          <w:rFonts w:eastAsia="Times New Roman" w:cs="Times New Roman"/>
          <w:color w:val="000000" w:themeColor="text1"/>
          <w:lang w:eastAsia="es-CL"/>
        </w:rPr>
      </w:pPr>
      <w:r w:rsidRPr="00776AD9">
        <w:rPr>
          <w:rFonts w:eastAsia="Times New Roman" w:cs="Times New Roman"/>
          <w:color w:val="000000" w:themeColor="text1"/>
          <w:lang w:eastAsia="es-CL"/>
        </w:rPr>
        <w:lastRenderedPageBreak/>
        <w:t>¿Cómo lo hará el participante?</w:t>
      </w:r>
    </w:p>
    <w:p w:rsidR="00776AD9" w:rsidRPr="00776AD9" w:rsidRDefault="00776AD9" w:rsidP="00776AD9">
      <w:pPr>
        <w:spacing w:after="0" w:line="240" w:lineRule="auto"/>
        <w:contextualSpacing/>
        <w:jc w:val="both"/>
        <w:rPr>
          <w:rFonts w:eastAsia="Times New Roman" w:cs="Times New Roman"/>
          <w:color w:val="000000" w:themeColor="text1"/>
          <w:lang w:eastAsia="es-CL"/>
        </w:rPr>
      </w:pPr>
    </w:p>
    <w:p w:rsidR="00776AD9" w:rsidRPr="00776AD9" w:rsidRDefault="00776AD9" w:rsidP="00776AD9">
      <w:pPr>
        <w:spacing w:after="0" w:line="240" w:lineRule="auto"/>
        <w:contextualSpacing/>
        <w:jc w:val="both"/>
        <w:rPr>
          <w:rFonts w:eastAsia="Times New Roman" w:cs="Times New Roman"/>
          <w:color w:val="000000" w:themeColor="text1"/>
          <w:lang w:eastAsia="es-CL"/>
        </w:rPr>
      </w:pPr>
      <w:r w:rsidRPr="00776AD9">
        <w:rPr>
          <w:rFonts w:eastAsia="Times New Roman" w:cs="Times New Roman"/>
          <w:color w:val="000000" w:themeColor="text1"/>
          <w:lang w:eastAsia="es-CL"/>
        </w:rPr>
        <w:t>Estas tres preguntas y sus respuestas se observan en la plataforma que presentará el Oferente en sus ofertas, las cuales se desarrollaran en un ambiente virtual.</w:t>
      </w:r>
    </w:p>
    <w:p w:rsidR="00776AD9" w:rsidRPr="00776AD9" w:rsidRDefault="00776AD9" w:rsidP="00776AD9">
      <w:pPr>
        <w:spacing w:after="0" w:line="240" w:lineRule="auto"/>
        <w:contextualSpacing/>
        <w:jc w:val="both"/>
        <w:rPr>
          <w:rFonts w:eastAsia="Times New Roman" w:cs="Times New Roman"/>
          <w:color w:val="000000" w:themeColor="text1"/>
          <w:lang w:eastAsia="es-CL"/>
        </w:rPr>
      </w:pPr>
    </w:p>
    <w:p w:rsidR="00776AD9" w:rsidRPr="00776AD9" w:rsidRDefault="00776AD9" w:rsidP="00776AD9">
      <w:pPr>
        <w:spacing w:after="0" w:line="240" w:lineRule="auto"/>
        <w:contextualSpacing/>
        <w:jc w:val="both"/>
        <w:rPr>
          <w:rFonts w:eastAsia="Times New Roman" w:cs="Times New Roman"/>
          <w:color w:val="000000" w:themeColor="text1"/>
          <w:lang w:eastAsia="es-CL"/>
        </w:rPr>
      </w:pPr>
      <w:r w:rsidRPr="00776AD9">
        <w:rPr>
          <w:rFonts w:eastAsia="Times New Roman" w:cs="Times New Roman"/>
          <w:color w:val="000000" w:themeColor="text1"/>
          <w:lang w:eastAsia="es-CL"/>
        </w:rPr>
        <w:t>La metodología debe poner atención a la diversidad presente en los participantes, considerando factores culturales, sociales, étnicos, de género, de estilos de aprendizaje y de niveles de conocimiento informático entre otros.</w:t>
      </w:r>
    </w:p>
    <w:p w:rsidR="00776AD9" w:rsidRPr="00776AD9" w:rsidRDefault="00776AD9" w:rsidP="00776AD9">
      <w:pPr>
        <w:spacing w:after="0" w:line="240" w:lineRule="auto"/>
        <w:contextualSpacing/>
        <w:jc w:val="both"/>
        <w:rPr>
          <w:rFonts w:eastAsia="Arial" w:cs="Times New Roman"/>
          <w:color w:val="000000" w:themeColor="text1"/>
        </w:rPr>
      </w:pPr>
    </w:p>
    <w:p w:rsidR="00776AD9" w:rsidRPr="00776AD9" w:rsidRDefault="00776AD9" w:rsidP="00776AD9">
      <w:pPr>
        <w:spacing w:after="0" w:line="240" w:lineRule="auto"/>
        <w:contextualSpacing/>
        <w:jc w:val="both"/>
        <w:rPr>
          <w:rFonts w:eastAsia="Arial" w:cs="Times New Roman"/>
          <w:color w:val="000000" w:themeColor="text1"/>
        </w:rPr>
      </w:pPr>
      <w:r w:rsidRPr="00776AD9">
        <w:rPr>
          <w:rFonts w:eastAsia="Arial" w:cs="Times New Roman"/>
          <w:color w:val="000000" w:themeColor="text1"/>
        </w:rPr>
        <w:t>Para diseñar atendiendo a la diversidad y conocimientos tecnológicos de los participantes es necesario:</w:t>
      </w:r>
    </w:p>
    <w:p w:rsidR="00776AD9" w:rsidRPr="00776AD9" w:rsidRDefault="00776AD9" w:rsidP="00776AD9">
      <w:pPr>
        <w:spacing w:after="0" w:line="240" w:lineRule="auto"/>
        <w:contextualSpacing/>
        <w:jc w:val="both"/>
        <w:rPr>
          <w:rFonts w:eastAsia="Arial" w:cs="Times New Roman"/>
          <w:color w:val="000000" w:themeColor="text1"/>
        </w:rPr>
      </w:pPr>
    </w:p>
    <w:p w:rsidR="00776AD9" w:rsidRPr="00776AD9" w:rsidRDefault="00776AD9" w:rsidP="00776AD9">
      <w:pPr>
        <w:numPr>
          <w:ilvl w:val="0"/>
          <w:numId w:val="3"/>
        </w:numPr>
        <w:spacing w:after="0" w:line="240" w:lineRule="auto"/>
        <w:ind w:left="284" w:hanging="284"/>
        <w:contextualSpacing/>
        <w:jc w:val="both"/>
        <w:rPr>
          <w:rFonts w:eastAsia="Arial" w:cs="Times New Roman"/>
          <w:color w:val="000000" w:themeColor="text1"/>
        </w:rPr>
      </w:pPr>
      <w:r w:rsidRPr="00776AD9">
        <w:rPr>
          <w:rFonts w:eastAsia="Arial" w:cs="Times New Roman"/>
          <w:color w:val="000000" w:themeColor="text1"/>
        </w:rPr>
        <w:t>Promover un trabajo sistémico con actividades variadas para los diferentes estilos de aprendizaje procurando que todos tengan acceso a las oportunidades de aprendizaje que se proponen.</w:t>
      </w:r>
    </w:p>
    <w:p w:rsidR="00776AD9" w:rsidRPr="00776AD9" w:rsidRDefault="00776AD9" w:rsidP="00776AD9">
      <w:pPr>
        <w:spacing w:after="0" w:line="240" w:lineRule="auto"/>
        <w:ind w:left="284"/>
        <w:contextualSpacing/>
        <w:jc w:val="both"/>
        <w:rPr>
          <w:rFonts w:eastAsia="Arial" w:cs="Times New Roman"/>
          <w:color w:val="000000" w:themeColor="text1"/>
        </w:rPr>
      </w:pPr>
    </w:p>
    <w:p w:rsidR="00776AD9" w:rsidRPr="00776AD9" w:rsidRDefault="00776AD9" w:rsidP="00776AD9">
      <w:pPr>
        <w:numPr>
          <w:ilvl w:val="0"/>
          <w:numId w:val="3"/>
        </w:numPr>
        <w:spacing w:after="0" w:line="240" w:lineRule="auto"/>
        <w:ind w:left="284" w:hanging="284"/>
        <w:contextualSpacing/>
        <w:jc w:val="both"/>
        <w:rPr>
          <w:rFonts w:eastAsia="Arial" w:cs="Times New Roman"/>
          <w:color w:val="000000" w:themeColor="text1"/>
        </w:rPr>
      </w:pPr>
      <w:r w:rsidRPr="00776AD9">
        <w:rPr>
          <w:rFonts w:eastAsia="Arial" w:cs="Times New Roman"/>
          <w:color w:val="000000" w:themeColor="text1"/>
        </w:rPr>
        <w:t>Diseñar experiencias de aprendizaje que se acomoden a las particularidades e intereses de los participantes. Mientras más información se tenga del grupo objetivo más pertinente podrá ser el diseño.</w:t>
      </w:r>
    </w:p>
    <w:p w:rsidR="00776AD9" w:rsidRPr="00776AD9" w:rsidRDefault="00776AD9" w:rsidP="00776AD9">
      <w:pPr>
        <w:spacing w:after="0" w:line="240" w:lineRule="auto"/>
        <w:contextualSpacing/>
        <w:jc w:val="both"/>
        <w:rPr>
          <w:rFonts w:eastAsia="Arial" w:cs="Times New Roman"/>
          <w:color w:val="000000" w:themeColor="text1"/>
        </w:rPr>
      </w:pPr>
    </w:p>
    <w:p w:rsidR="00776AD9" w:rsidRPr="00776AD9" w:rsidRDefault="00776AD9" w:rsidP="00776AD9">
      <w:pPr>
        <w:numPr>
          <w:ilvl w:val="0"/>
          <w:numId w:val="3"/>
        </w:numPr>
        <w:spacing w:after="0" w:line="240" w:lineRule="auto"/>
        <w:ind w:left="284" w:hanging="284"/>
        <w:contextualSpacing/>
        <w:jc w:val="both"/>
        <w:rPr>
          <w:rFonts w:eastAsia="Arial" w:cs="Times New Roman"/>
          <w:color w:val="000000" w:themeColor="text1"/>
        </w:rPr>
      </w:pPr>
      <w:r w:rsidRPr="00776AD9">
        <w:rPr>
          <w:rFonts w:eastAsia="Arial" w:cs="Times New Roman"/>
          <w:color w:val="000000" w:themeColor="text1"/>
        </w:rPr>
        <w:t>Proveer igualdad de oportunidades, asegurando que todos los participantes puedan contribuir de igual manera, evitando estereotipos asociados a género y a características físicas.</w:t>
      </w:r>
    </w:p>
    <w:p w:rsidR="00776AD9" w:rsidRPr="00776AD9" w:rsidRDefault="00776AD9" w:rsidP="00776AD9">
      <w:pPr>
        <w:spacing w:after="0" w:line="240" w:lineRule="auto"/>
        <w:contextualSpacing/>
        <w:jc w:val="both"/>
        <w:rPr>
          <w:rFonts w:eastAsia="Arial" w:cs="Times New Roman"/>
          <w:color w:val="000000" w:themeColor="text1"/>
        </w:rPr>
      </w:pPr>
    </w:p>
    <w:p w:rsidR="00776AD9" w:rsidRPr="00776AD9" w:rsidRDefault="00776AD9" w:rsidP="00776AD9">
      <w:pPr>
        <w:spacing w:after="0" w:line="240" w:lineRule="auto"/>
        <w:contextualSpacing/>
        <w:jc w:val="both"/>
        <w:rPr>
          <w:rFonts w:eastAsia="Arial" w:cs="Times New Roman"/>
          <w:color w:val="000000" w:themeColor="text1"/>
        </w:rPr>
      </w:pPr>
      <w:r w:rsidRPr="00776AD9">
        <w:rPr>
          <w:rFonts w:eastAsia="Arial" w:cs="Times New Roman"/>
          <w:color w:val="000000" w:themeColor="text1"/>
        </w:rPr>
        <w:t>En la Metodología se deben proponer dos actividades de aprendizaje que permitan desarrollar el proceso de aprendizaje, esto se verá evidenciado con el desarrollo de los siguientes ítems:</w:t>
      </w:r>
    </w:p>
    <w:p w:rsidR="00776AD9" w:rsidRPr="00776AD9" w:rsidRDefault="00776AD9" w:rsidP="00776AD9">
      <w:pPr>
        <w:spacing w:after="0" w:line="240" w:lineRule="auto"/>
        <w:ind w:left="358"/>
        <w:contextualSpacing/>
        <w:jc w:val="both"/>
        <w:rPr>
          <w:rFonts w:eastAsia="Arial" w:cs="Times New Roman"/>
          <w:color w:val="000000" w:themeColor="text1"/>
        </w:rPr>
      </w:pPr>
    </w:p>
    <w:p w:rsidR="00776AD9" w:rsidRPr="00776AD9" w:rsidRDefault="00776AD9" w:rsidP="00776AD9">
      <w:pPr>
        <w:numPr>
          <w:ilvl w:val="0"/>
          <w:numId w:val="7"/>
        </w:numPr>
        <w:spacing w:after="0" w:line="240" w:lineRule="auto"/>
        <w:ind w:left="426" w:hanging="284"/>
        <w:contextualSpacing/>
        <w:jc w:val="both"/>
        <w:rPr>
          <w:rFonts w:cs="Times New Roman"/>
          <w:color w:val="000000" w:themeColor="text1"/>
          <w:lang w:val="es-ES" w:eastAsia="es-ES"/>
        </w:rPr>
      </w:pPr>
      <w:r w:rsidRPr="00776AD9">
        <w:rPr>
          <w:rFonts w:cs="Times New Roman"/>
          <w:color w:val="000000" w:themeColor="text1"/>
          <w:lang w:val="es-ES" w:eastAsia="es-ES"/>
        </w:rPr>
        <w:t>Inducción Tecnológica y metodológica. Debe preparar a los participantes en el uso de su tecnología (plataforma) y metodología del curso. Podrán incluirse actividades de formación en el uso general de tecnologías de información en caso que resulte necesario.</w:t>
      </w:r>
    </w:p>
    <w:p w:rsidR="00776AD9" w:rsidRPr="00776AD9" w:rsidRDefault="00776AD9" w:rsidP="00776AD9">
      <w:pPr>
        <w:spacing w:after="0" w:line="240" w:lineRule="auto"/>
        <w:ind w:left="426"/>
        <w:contextualSpacing/>
        <w:jc w:val="both"/>
        <w:rPr>
          <w:rFonts w:cs="Times New Roman"/>
          <w:color w:val="000000" w:themeColor="text1"/>
          <w:lang w:val="es-ES" w:eastAsia="es-ES"/>
        </w:rPr>
      </w:pPr>
    </w:p>
    <w:p w:rsidR="00776AD9" w:rsidRPr="00776AD9" w:rsidRDefault="00776AD9" w:rsidP="00776AD9">
      <w:pPr>
        <w:numPr>
          <w:ilvl w:val="0"/>
          <w:numId w:val="7"/>
        </w:numPr>
        <w:spacing w:after="0" w:line="240" w:lineRule="auto"/>
        <w:ind w:left="426" w:hanging="284"/>
        <w:contextualSpacing/>
        <w:jc w:val="both"/>
        <w:rPr>
          <w:rFonts w:cs="Times New Roman"/>
          <w:color w:val="000000" w:themeColor="text1"/>
          <w:lang w:val="es-ES" w:eastAsia="es-ES"/>
        </w:rPr>
      </w:pPr>
      <w:r w:rsidRPr="00776AD9">
        <w:rPr>
          <w:rFonts w:cs="Times New Roman"/>
          <w:color w:val="000000" w:themeColor="text1"/>
          <w:lang w:val="es-ES" w:eastAsia="es-ES"/>
        </w:rPr>
        <w:t>Relación metodología y competencia: se espera una relación directa y complementaria entre la metodología y la competencia del plan formativo, es decir, que la metodología utilizada resuelve la transferencia y adquisición de las habilidades asociadas a los aprendizajes del módulo a evaluar por parte de los participantes. Además, el Oferente debe velar por que el participante no posea un rol pasivo. Para esto debe existir una interacción con los participantes y se debe considerar, además, una producción propia.</w:t>
      </w:r>
    </w:p>
    <w:p w:rsidR="00776AD9" w:rsidRPr="00776AD9" w:rsidRDefault="00776AD9" w:rsidP="00776AD9">
      <w:pPr>
        <w:spacing w:after="0" w:line="240" w:lineRule="auto"/>
        <w:contextualSpacing/>
        <w:jc w:val="both"/>
        <w:rPr>
          <w:rFonts w:cs="Times New Roman"/>
          <w:color w:val="000000" w:themeColor="text1"/>
          <w:lang w:val="es-ES" w:eastAsia="es-ES"/>
        </w:rPr>
      </w:pPr>
    </w:p>
    <w:p w:rsidR="00776AD9" w:rsidRPr="00776AD9" w:rsidRDefault="00776AD9" w:rsidP="00776AD9">
      <w:pPr>
        <w:numPr>
          <w:ilvl w:val="0"/>
          <w:numId w:val="7"/>
        </w:numPr>
        <w:spacing w:after="0" w:line="240" w:lineRule="auto"/>
        <w:ind w:left="426" w:hanging="284"/>
        <w:contextualSpacing/>
        <w:jc w:val="both"/>
        <w:rPr>
          <w:rFonts w:cs="Times New Roman"/>
          <w:color w:val="000000" w:themeColor="text1"/>
          <w:lang w:val="es-ES" w:eastAsia="es-ES"/>
        </w:rPr>
      </w:pPr>
      <w:r w:rsidRPr="00776AD9">
        <w:rPr>
          <w:rFonts w:cs="Times New Roman"/>
          <w:color w:val="000000" w:themeColor="text1"/>
          <w:lang w:eastAsia="es-ES"/>
        </w:rPr>
        <w:t>Proceso de aprendizaje</w:t>
      </w:r>
      <w:r w:rsidRPr="00776AD9">
        <w:rPr>
          <w:rFonts w:cs="Times New Roman"/>
          <w:color w:val="000000" w:themeColor="text1"/>
          <w:lang w:val="es-ES" w:eastAsia="es-ES"/>
        </w:rPr>
        <w:t xml:space="preserve">: se refiere a como se desarrollará el proceso de aprendizaje, explicando el uso de la plataforma y el método de enseñanza que se utilizará. </w:t>
      </w:r>
    </w:p>
    <w:p w:rsidR="00776AD9" w:rsidRPr="00776AD9" w:rsidRDefault="00776AD9" w:rsidP="00776AD9">
      <w:pPr>
        <w:spacing w:after="0" w:line="240" w:lineRule="auto"/>
        <w:ind w:left="426"/>
        <w:contextualSpacing/>
        <w:jc w:val="both"/>
        <w:rPr>
          <w:rFonts w:cs="Times New Roman"/>
          <w:color w:val="000000" w:themeColor="text1"/>
          <w:lang w:val="es-ES" w:eastAsia="es-ES"/>
        </w:rPr>
      </w:pPr>
    </w:p>
    <w:p w:rsidR="00776AD9" w:rsidRPr="00776AD9" w:rsidRDefault="00776AD9" w:rsidP="00776AD9">
      <w:pPr>
        <w:spacing w:after="0" w:line="240" w:lineRule="auto"/>
        <w:ind w:left="426"/>
        <w:contextualSpacing/>
        <w:jc w:val="both"/>
        <w:rPr>
          <w:rFonts w:cs="Times New Roman"/>
          <w:color w:val="000000" w:themeColor="text1"/>
          <w:lang w:val="es-ES" w:eastAsia="es-ES"/>
        </w:rPr>
      </w:pPr>
      <w:r w:rsidRPr="00776AD9">
        <w:rPr>
          <w:rFonts w:cs="Times New Roman"/>
          <w:color w:val="000000" w:themeColor="text1"/>
          <w:lang w:val="es-ES" w:eastAsia="es-ES"/>
        </w:rPr>
        <w:t xml:space="preserve">En este ítem el Oferente deberá explicar cómo, a través del rol del Relator, serán conducidas y orientadas las actividades, entendiendo que existen actividades y evaluaciones de retroalimentación automáticas y otras off line, en las cuales su retroalimentación no podrá exceder un plazo máximo de 72 </w:t>
      </w:r>
      <w:proofErr w:type="spellStart"/>
      <w:r w:rsidRPr="00776AD9">
        <w:rPr>
          <w:rFonts w:cs="Times New Roman"/>
          <w:color w:val="000000" w:themeColor="text1"/>
          <w:lang w:val="es-ES" w:eastAsia="es-ES"/>
        </w:rPr>
        <w:t>hrs</w:t>
      </w:r>
      <w:proofErr w:type="spellEnd"/>
      <w:r w:rsidRPr="00776AD9">
        <w:rPr>
          <w:rFonts w:cs="Times New Roman"/>
          <w:color w:val="000000" w:themeColor="text1"/>
          <w:lang w:val="es-ES" w:eastAsia="es-ES"/>
        </w:rPr>
        <w:t>. Por otra parte, deberá explicitar si existirán mensajes de orientación, retroalimentación, etc.</w:t>
      </w:r>
    </w:p>
    <w:p w:rsidR="00776AD9" w:rsidRPr="00776AD9" w:rsidRDefault="00776AD9" w:rsidP="00776AD9">
      <w:pPr>
        <w:spacing w:after="0" w:line="240" w:lineRule="auto"/>
        <w:ind w:left="426"/>
        <w:contextualSpacing/>
        <w:jc w:val="both"/>
        <w:rPr>
          <w:rFonts w:cs="Times New Roman"/>
          <w:color w:val="000000" w:themeColor="text1"/>
          <w:lang w:val="es-ES" w:eastAsia="es-ES"/>
        </w:rPr>
      </w:pPr>
    </w:p>
    <w:p w:rsidR="00776AD9" w:rsidRPr="00776AD9" w:rsidRDefault="00776AD9" w:rsidP="00776AD9">
      <w:pPr>
        <w:numPr>
          <w:ilvl w:val="0"/>
          <w:numId w:val="7"/>
        </w:numPr>
        <w:spacing w:after="0" w:line="240" w:lineRule="auto"/>
        <w:ind w:left="426"/>
        <w:contextualSpacing/>
        <w:jc w:val="both"/>
        <w:rPr>
          <w:rFonts w:cs="Times New Roman"/>
          <w:color w:val="000000" w:themeColor="text1"/>
          <w:lang w:val="es-ES" w:eastAsia="es-ES"/>
        </w:rPr>
      </w:pPr>
      <w:r w:rsidRPr="00776AD9">
        <w:rPr>
          <w:rFonts w:cs="Times New Roman"/>
          <w:color w:val="000000" w:themeColor="text1"/>
          <w:lang w:val="es-ES" w:eastAsia="es-ES"/>
        </w:rPr>
        <w:t xml:space="preserve">Aspectos motivacionales: se refiere al tipo de actividades de aprendizajes a realizar por módulos para contribuir al proceso de aprendizaje y fomentar la interacción de los participantes. </w:t>
      </w:r>
    </w:p>
    <w:p w:rsidR="00776AD9" w:rsidRPr="00776AD9" w:rsidRDefault="00776AD9" w:rsidP="00776AD9">
      <w:pPr>
        <w:spacing w:after="0" w:line="240" w:lineRule="auto"/>
        <w:ind w:left="426"/>
        <w:contextualSpacing/>
        <w:jc w:val="both"/>
        <w:rPr>
          <w:rFonts w:cs="Times New Roman"/>
          <w:color w:val="000000" w:themeColor="text1"/>
          <w:lang w:val="es-ES" w:eastAsia="es-ES"/>
        </w:rPr>
      </w:pPr>
    </w:p>
    <w:p w:rsidR="00776AD9" w:rsidRPr="00776AD9" w:rsidRDefault="00776AD9" w:rsidP="00776AD9">
      <w:pPr>
        <w:numPr>
          <w:ilvl w:val="0"/>
          <w:numId w:val="7"/>
        </w:numPr>
        <w:spacing w:after="0" w:line="240" w:lineRule="auto"/>
        <w:ind w:left="426"/>
        <w:contextualSpacing/>
        <w:jc w:val="both"/>
        <w:rPr>
          <w:rFonts w:cs="Times New Roman"/>
          <w:color w:val="000000" w:themeColor="text1"/>
          <w:lang w:val="es-ES" w:eastAsia="es-ES"/>
        </w:rPr>
      </w:pPr>
      <w:r w:rsidRPr="00776AD9">
        <w:rPr>
          <w:rFonts w:cs="Times New Roman"/>
          <w:color w:val="000000" w:themeColor="text1"/>
          <w:lang w:val="es-ES" w:eastAsia="es-ES"/>
        </w:rPr>
        <w:t>Apoyo a los participantes o tutorías: se refiere a la atención del apoyo al participante, que debe entregar los oferentes respecto al soporte, administración y comunicación entregada al participante respecto de la plataforma, la metodología y de aspectos administrativos de la actividad. Lo anterior se traduce en la entrega de una guía, que debe informar cómo se organizará la atención remota, el apoyo técnico. Por último, debe definir el plan de tutoría a fin de orientar, de manera permanente y durante el periodo que dure la capacitación, y reforzar el proceso de aprendizaje.</w:t>
      </w:r>
    </w:p>
    <w:p w:rsidR="00776AD9" w:rsidRPr="00776AD9" w:rsidRDefault="00776AD9" w:rsidP="00776AD9">
      <w:pPr>
        <w:spacing w:after="0" w:line="240" w:lineRule="auto"/>
        <w:ind w:left="720"/>
        <w:contextualSpacing/>
        <w:rPr>
          <w:rFonts w:eastAsia="Times New Roman" w:cs="Times New Roman"/>
          <w:color w:val="000000" w:themeColor="text1"/>
          <w:lang w:val="es-ES" w:eastAsia="es-ES"/>
        </w:rPr>
      </w:pPr>
    </w:p>
    <w:p w:rsidR="00776AD9" w:rsidRPr="00776AD9" w:rsidRDefault="00776AD9" w:rsidP="00776AD9">
      <w:pPr>
        <w:numPr>
          <w:ilvl w:val="0"/>
          <w:numId w:val="7"/>
        </w:numPr>
        <w:spacing w:after="0" w:line="240" w:lineRule="auto"/>
        <w:ind w:left="426"/>
        <w:contextualSpacing/>
        <w:jc w:val="both"/>
        <w:rPr>
          <w:rFonts w:cs="Times New Roman"/>
          <w:color w:val="000000" w:themeColor="text1"/>
          <w:lang w:val="es-ES" w:eastAsia="es-ES"/>
        </w:rPr>
      </w:pPr>
      <w:r w:rsidRPr="00776AD9">
        <w:rPr>
          <w:rFonts w:cs="Times New Roman"/>
          <w:color w:val="000000" w:themeColor="text1"/>
          <w:lang w:val="es-ES" w:eastAsia="es-ES"/>
        </w:rPr>
        <w:t>Administración de la actividad en día y horarios: Corresponde a la descripción de cómo se administrará la actividad en tiempo real, en términos de días, horarios, consultas, números de teléfonos, correo electrónico, personal a cargo y un plan de contingencia en el caso de que se interrumpa o altere el normal desarrollo de la actividad.</w:t>
      </w:r>
    </w:p>
    <w:p w:rsidR="00776AD9" w:rsidRPr="00776AD9" w:rsidRDefault="00776AD9" w:rsidP="00776AD9">
      <w:pPr>
        <w:spacing w:after="0" w:line="240" w:lineRule="auto"/>
        <w:ind w:left="66"/>
        <w:contextualSpacing/>
        <w:jc w:val="both"/>
        <w:rPr>
          <w:rFonts w:cs="Times New Roman"/>
          <w:color w:val="000000" w:themeColor="text1"/>
          <w:lang w:val="es-ES" w:eastAsia="es-ES"/>
        </w:rPr>
      </w:pPr>
    </w:p>
    <w:p w:rsidR="00776AD9" w:rsidRPr="00776AD9" w:rsidRDefault="00776AD9" w:rsidP="00776AD9">
      <w:pPr>
        <w:numPr>
          <w:ilvl w:val="0"/>
          <w:numId w:val="8"/>
        </w:numPr>
        <w:spacing w:after="0" w:line="240" w:lineRule="auto"/>
        <w:contextualSpacing/>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Recursos didácticos: se refiere a la forma en cómo se utilizará el material didáctico en función de lograr el desarrollo de las actividades de aprendizaje. Corresponde describir y enumerar los medios y/o recursos de capacitación, tales como, presentaciones, tutoriales, videos interactivos, un instructivo, un cuadro comparativo, multimedia en general, entre otros, que se consideran fundamentales para la transferencia del aprendizaje y el desarrollo de las actividades declaradas en el método de enseñanza. Adicionalmente a lo anterior, debe plantear la inducción y el apoyo en la docencia virtual del relator y tutor. </w:t>
      </w:r>
    </w:p>
    <w:p w:rsidR="00776AD9" w:rsidRPr="00776AD9" w:rsidRDefault="00776AD9" w:rsidP="00776AD9">
      <w:pPr>
        <w:spacing w:after="0" w:line="240" w:lineRule="auto"/>
        <w:ind w:left="426"/>
        <w:contextualSpacing/>
        <w:rPr>
          <w:rFonts w:eastAsia="Times New Roman" w:cs="Times New Roman"/>
          <w:color w:val="000000" w:themeColor="text1"/>
          <w:lang w:val="es-ES" w:eastAsia="es-ES"/>
        </w:rPr>
      </w:pPr>
    </w:p>
    <w:p w:rsidR="00776AD9" w:rsidRPr="00776AD9" w:rsidRDefault="00776AD9" w:rsidP="00776AD9">
      <w:pPr>
        <w:numPr>
          <w:ilvl w:val="0"/>
          <w:numId w:val="9"/>
        </w:numPr>
        <w:spacing w:after="0" w:line="240" w:lineRule="auto"/>
        <w:ind w:left="426"/>
        <w:contextualSpacing/>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Actividades de evaluación formativa. Describe el/</w:t>
      </w:r>
      <w:proofErr w:type="gramStart"/>
      <w:r w:rsidRPr="00776AD9">
        <w:rPr>
          <w:rFonts w:eastAsia="Times New Roman" w:cs="Times New Roman"/>
          <w:color w:val="000000" w:themeColor="text1"/>
          <w:lang w:val="es-ES" w:eastAsia="es-ES"/>
        </w:rPr>
        <w:t>los tipo</w:t>
      </w:r>
      <w:proofErr w:type="gramEnd"/>
      <w:r w:rsidRPr="00776AD9">
        <w:rPr>
          <w:rFonts w:eastAsia="Times New Roman" w:cs="Times New Roman"/>
          <w:color w:val="000000" w:themeColor="text1"/>
          <w:lang w:val="es-ES" w:eastAsia="es-ES"/>
        </w:rPr>
        <w:t>/s de actividad de aprendizaje a realizar en el módulo para contribuir al proceso de aprendizaje y fomentar la interacción (ejercicios de simulaciones (con software o multimedia), tareas, ejercicios prácticos, juegos de roles, análisis de casos, aprendizaje basado en problemas, etc.)</w:t>
      </w:r>
    </w:p>
    <w:p w:rsidR="00776AD9" w:rsidRPr="00776AD9" w:rsidRDefault="00776AD9" w:rsidP="00776AD9">
      <w:pPr>
        <w:spacing w:after="0" w:line="240" w:lineRule="auto"/>
        <w:ind w:left="426"/>
        <w:contextualSpacing/>
        <w:jc w:val="both"/>
        <w:rPr>
          <w:rFonts w:eastAsia="Times New Roman" w:cs="Times New Roman"/>
          <w:color w:val="000000" w:themeColor="text1"/>
          <w:lang w:val="es-ES" w:eastAsia="es-ES"/>
        </w:rPr>
      </w:pPr>
    </w:p>
    <w:p w:rsidR="00776AD9" w:rsidRPr="00776AD9" w:rsidRDefault="00776AD9" w:rsidP="00776AD9">
      <w:pPr>
        <w:numPr>
          <w:ilvl w:val="0"/>
          <w:numId w:val="10"/>
        </w:numPr>
        <w:spacing w:after="0" w:line="240" w:lineRule="auto"/>
        <w:contextualSpacing/>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 xml:space="preserve">Evaluación del proceso de aprendizaje, considerando la totalidad de los Aprendizajes esperados del módulo. </w:t>
      </w:r>
    </w:p>
    <w:p w:rsidR="00776AD9" w:rsidRPr="00776AD9" w:rsidRDefault="00776AD9" w:rsidP="00776AD9">
      <w:pPr>
        <w:spacing w:after="0" w:line="240" w:lineRule="auto"/>
        <w:ind w:left="360"/>
        <w:contextualSpacing/>
        <w:rPr>
          <w:rFonts w:eastAsia="Times New Roman" w:cs="Times New Roman"/>
          <w:color w:val="000000" w:themeColor="text1"/>
          <w:lang w:val="es-ES" w:eastAsia="es-ES"/>
        </w:rPr>
      </w:pPr>
    </w:p>
    <w:p w:rsidR="00776AD9" w:rsidRPr="00776AD9" w:rsidRDefault="00776AD9" w:rsidP="00776AD9">
      <w:pPr>
        <w:spacing w:after="0" w:line="240" w:lineRule="auto"/>
        <w:ind w:left="360"/>
        <w:contextualSpacing/>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Debe considerar criterios de evaluación (en tareas a realizar por el participante). Propone estrategias y actividades evaluativas para medir el logro del aprendizaje.</w:t>
      </w:r>
    </w:p>
    <w:p w:rsidR="00776AD9" w:rsidRPr="00776AD9" w:rsidRDefault="00776AD9" w:rsidP="00776AD9">
      <w:pPr>
        <w:spacing w:after="0" w:line="240" w:lineRule="auto"/>
        <w:ind w:left="360"/>
        <w:contextualSpacing/>
        <w:jc w:val="both"/>
        <w:rPr>
          <w:rFonts w:eastAsia="Times New Roman" w:cs="Times New Roman"/>
          <w:color w:val="000000" w:themeColor="text1"/>
          <w:lang w:val="es-ES" w:eastAsia="es-ES"/>
        </w:rPr>
      </w:pPr>
    </w:p>
    <w:p w:rsidR="00776AD9" w:rsidRPr="00776AD9" w:rsidRDefault="00776AD9" w:rsidP="00776AD9">
      <w:pPr>
        <w:spacing w:after="0" w:line="240" w:lineRule="auto"/>
        <w:ind w:left="360"/>
        <w:contextualSpacing/>
        <w:jc w:val="both"/>
        <w:rPr>
          <w:rFonts w:eastAsia="Times New Roman" w:cs="Times New Roman"/>
          <w:color w:val="000000" w:themeColor="text1"/>
          <w:lang w:val="es-ES" w:eastAsia="es-ES"/>
        </w:rPr>
      </w:pPr>
      <w:r w:rsidRPr="00776AD9">
        <w:rPr>
          <w:rFonts w:eastAsia="Times New Roman" w:cs="Times New Roman"/>
          <w:color w:val="000000" w:themeColor="text1"/>
          <w:lang w:val="es-ES" w:eastAsia="es-ES"/>
        </w:rPr>
        <w:t>Técnicas e instrumentos. Propone estrategias y actividades evaluativas para medir el logro del aprendizaje. Presenta los instrumentos a utilizar durante el desarrollo de la actividad. Establece retroalimentación en la plataforma automática y por el relator.</w:t>
      </w:r>
    </w:p>
    <w:p w:rsidR="00776AD9" w:rsidRPr="00776AD9" w:rsidRDefault="00776AD9" w:rsidP="00776AD9">
      <w:pPr>
        <w:spacing w:after="0" w:line="240" w:lineRule="auto"/>
        <w:contextualSpacing/>
        <w:jc w:val="both"/>
        <w:rPr>
          <w:rFonts w:cs="Times New Roman"/>
          <w:color w:val="000000" w:themeColor="text1"/>
          <w:lang w:eastAsia="es-ES"/>
        </w:rPr>
      </w:pPr>
    </w:p>
    <w:p w:rsidR="00776AD9" w:rsidRPr="00776AD9" w:rsidRDefault="00776AD9" w:rsidP="00776AD9">
      <w:pPr>
        <w:spacing w:after="0" w:line="240" w:lineRule="auto"/>
        <w:contextualSpacing/>
        <w:jc w:val="both"/>
        <w:rPr>
          <w:rFonts w:cs="Times New Roman"/>
          <w:color w:val="000000" w:themeColor="text1"/>
          <w:lang w:eastAsia="es-ES"/>
        </w:rPr>
      </w:pPr>
      <w:r w:rsidRPr="00776AD9">
        <w:rPr>
          <w:rFonts w:cs="Times New Roman"/>
          <w:color w:val="000000" w:themeColor="text1"/>
          <w:lang w:eastAsia="es-ES"/>
        </w:rPr>
        <w:t>En síntesis, en el ambiente virtual, la metodología debe indicar de forma taxativa cómo se desarrolla un ambiente práctico de aprendizaje virtual, en donde debe quedar clara las funciones del Relator y Tutor tanto en su labor teórica como práctica, respecto de facilitar metodologías en pro del participante, vale decir, el relator y tutor son responsables de la apropiación de los materiales de estudio digitales como en la permanente asistencia técnica en el aprendizaje de participantes.</w:t>
      </w:r>
    </w:p>
    <w:p w:rsidR="00776AD9" w:rsidRPr="00776AD9" w:rsidRDefault="00776AD9" w:rsidP="00776AD9">
      <w:pPr>
        <w:spacing w:after="0" w:line="240" w:lineRule="auto"/>
        <w:contextualSpacing/>
        <w:jc w:val="both"/>
        <w:rPr>
          <w:rFonts w:cs="Times New Roman"/>
          <w:color w:val="000000" w:themeColor="text1"/>
          <w:lang w:eastAsia="es-ES"/>
        </w:rPr>
      </w:pPr>
    </w:p>
    <w:p w:rsidR="00776AD9" w:rsidRPr="00776AD9" w:rsidRDefault="00776AD9" w:rsidP="00776AD9">
      <w:pPr>
        <w:numPr>
          <w:ilvl w:val="0"/>
          <w:numId w:val="11"/>
        </w:numPr>
        <w:spacing w:after="0" w:line="240" w:lineRule="auto"/>
        <w:jc w:val="both"/>
        <w:rPr>
          <w:rFonts w:eastAsia="Arial" w:cs="Times New Roman"/>
          <w:b/>
          <w:color w:val="000000" w:themeColor="text1"/>
          <w:u w:val="single"/>
          <w:lang w:val="es-ES" w:eastAsia="es-ES"/>
        </w:rPr>
      </w:pPr>
      <w:r w:rsidRPr="00776AD9">
        <w:rPr>
          <w:rFonts w:eastAsia="Arial" w:cs="Times New Roman"/>
          <w:color w:val="000000" w:themeColor="text1"/>
          <w:u w:val="single"/>
          <w:lang w:val="es-ES" w:eastAsia="es-ES"/>
        </w:rPr>
        <w:t xml:space="preserve">Metodología en modalidad </w:t>
      </w:r>
      <w:proofErr w:type="spellStart"/>
      <w:r w:rsidRPr="00776AD9">
        <w:rPr>
          <w:rFonts w:eastAsia="Arial" w:cs="Times New Roman"/>
          <w:color w:val="000000" w:themeColor="text1"/>
          <w:u w:val="single"/>
          <w:lang w:val="es-ES" w:eastAsia="es-ES"/>
        </w:rPr>
        <w:t>Blended</w:t>
      </w:r>
      <w:proofErr w:type="spellEnd"/>
      <w:r w:rsidRPr="00776AD9">
        <w:rPr>
          <w:rFonts w:eastAsia="Arial" w:cs="Times New Roman"/>
          <w:color w:val="000000" w:themeColor="text1"/>
          <w:u w:val="single"/>
          <w:lang w:val="es-ES" w:eastAsia="es-ES"/>
        </w:rPr>
        <w:t>, Presencial y E-Learning.</w:t>
      </w:r>
    </w:p>
    <w:p w:rsidR="00776AD9" w:rsidRPr="00776AD9" w:rsidRDefault="00776AD9" w:rsidP="00776AD9">
      <w:pPr>
        <w:spacing w:after="0" w:line="240" w:lineRule="auto"/>
        <w:jc w:val="both"/>
        <w:rPr>
          <w:rFonts w:eastAsia="Times New Roman" w:cs="Times New Roman"/>
          <w:bCs/>
          <w:color w:val="000000" w:themeColor="text1"/>
          <w:lang w:val="es-ES" w:eastAsia="es-ES"/>
        </w:rPr>
      </w:pPr>
    </w:p>
    <w:p w:rsidR="00776AD9" w:rsidRPr="00776AD9" w:rsidRDefault="00776AD9" w:rsidP="00776AD9">
      <w:pPr>
        <w:spacing w:after="0" w:line="240" w:lineRule="auto"/>
        <w:jc w:val="both"/>
        <w:rPr>
          <w:rFonts w:eastAsia="Times New Roman" w:cs="Times New Roman"/>
          <w:bCs/>
          <w:color w:val="000000" w:themeColor="text1"/>
          <w:lang w:val="es-ES" w:eastAsia="es-ES"/>
        </w:rPr>
      </w:pPr>
      <w:proofErr w:type="spellStart"/>
      <w:r w:rsidRPr="00776AD9">
        <w:rPr>
          <w:rFonts w:eastAsia="Times New Roman" w:cs="Times New Roman"/>
          <w:bCs/>
          <w:color w:val="000000" w:themeColor="text1"/>
          <w:lang w:val="es-ES" w:eastAsia="es-ES"/>
        </w:rPr>
        <w:t>Blended</w:t>
      </w:r>
      <w:proofErr w:type="spellEnd"/>
      <w:r w:rsidRPr="00776AD9">
        <w:rPr>
          <w:rFonts w:eastAsia="Times New Roman" w:cs="Times New Roman"/>
          <w:bCs/>
          <w:color w:val="000000" w:themeColor="text1"/>
          <w:lang w:val="es-ES" w:eastAsia="es-ES"/>
        </w:rPr>
        <w:t xml:space="preserve"> es la combinación de la modalidad Presencial y la modalidad E-Learning, por tal motivo, debe considerar los puntos anteriores de esta guía para desarrollar esta modalidad.</w:t>
      </w:r>
    </w:p>
    <w:p w:rsidR="00776AD9" w:rsidRPr="00776AD9" w:rsidRDefault="00776AD9" w:rsidP="00776AD9">
      <w:pPr>
        <w:spacing w:after="0" w:line="240" w:lineRule="auto"/>
        <w:contextualSpacing/>
        <w:jc w:val="both"/>
        <w:rPr>
          <w:rFonts w:cs="Times New Roman"/>
          <w:color w:val="000000" w:themeColor="text1"/>
          <w:lang w:eastAsia="es-ES"/>
        </w:rPr>
      </w:pPr>
    </w:p>
    <w:p w:rsidR="00776AD9" w:rsidRPr="00776AD9" w:rsidRDefault="00776AD9" w:rsidP="00776AD9">
      <w:pPr>
        <w:spacing w:after="0" w:line="240" w:lineRule="auto"/>
        <w:contextualSpacing/>
        <w:jc w:val="both"/>
        <w:rPr>
          <w:rFonts w:eastAsia="Times New Roman" w:cs="Times New Roman"/>
          <w:b/>
          <w:color w:val="000000" w:themeColor="text1"/>
          <w:u w:val="single"/>
          <w:lang w:val="es-ES" w:eastAsia="es-ES"/>
        </w:rPr>
      </w:pPr>
      <w:r w:rsidRPr="00776AD9">
        <w:rPr>
          <w:rFonts w:eastAsia="Times New Roman" w:cs="Times New Roman"/>
          <w:b/>
          <w:color w:val="000000" w:themeColor="text1"/>
          <w:u w:val="single"/>
          <w:lang w:val="es-ES" w:eastAsia="es-ES"/>
        </w:rPr>
        <w:lastRenderedPageBreak/>
        <w:t>CONCEPTOS Y DEFINICIONES CLAVES A CONSIDERAR EN LA METODOLOGÍA:</w:t>
      </w:r>
    </w:p>
    <w:p w:rsidR="00776AD9" w:rsidRPr="00776AD9" w:rsidRDefault="00776AD9" w:rsidP="00776AD9">
      <w:pPr>
        <w:spacing w:after="0" w:line="240" w:lineRule="auto"/>
        <w:contextualSpacing/>
        <w:jc w:val="both"/>
        <w:rPr>
          <w:rFonts w:cs="Times New Roman"/>
          <w:color w:val="000000" w:themeColor="text1"/>
          <w:lang w:val="es-ES" w:eastAsia="es-ES"/>
        </w:rPr>
      </w:pP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kern w:val="24"/>
          <w:lang w:val="es-ES" w:eastAsia="es-ES"/>
        </w:rPr>
      </w:pPr>
      <w:r w:rsidRPr="00776AD9">
        <w:rPr>
          <w:rFonts w:cs="Times New Roman"/>
          <w:b/>
          <w:color w:val="000000" w:themeColor="text1"/>
          <w:kern w:val="24"/>
          <w:lang w:val="es-ES" w:eastAsia="es-ES"/>
        </w:rPr>
        <w:t>Actividades didácticas:</w:t>
      </w:r>
      <w:r w:rsidRPr="00776AD9">
        <w:rPr>
          <w:rFonts w:cs="Times New Roman"/>
          <w:color w:val="000000" w:themeColor="text1"/>
          <w:kern w:val="24"/>
          <w:lang w:val="es-ES" w:eastAsia="es-ES"/>
        </w:rPr>
        <w:t xml:space="preserve"> Son las acciones que se emplean para hacer significativo un tipo de aprendizaje, por ejemplo: Juego de Roles, simulaciones, gamificaciones, entre otras.</w:t>
      </w:r>
    </w:p>
    <w:p w:rsidR="00776AD9" w:rsidRPr="00776AD9" w:rsidRDefault="00776AD9" w:rsidP="00776AD9">
      <w:pPr>
        <w:spacing w:after="0" w:line="240" w:lineRule="auto"/>
        <w:contextualSpacing/>
        <w:jc w:val="both"/>
        <w:rPr>
          <w:rFonts w:cs="Times New Roman"/>
          <w:color w:val="000000" w:themeColor="text1"/>
          <w:lang w:eastAsia="es-ES"/>
        </w:rPr>
      </w:pP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r w:rsidRPr="00776AD9">
        <w:rPr>
          <w:rFonts w:cs="Times New Roman"/>
          <w:b/>
          <w:color w:val="000000" w:themeColor="text1"/>
          <w:shd w:val="clear" w:color="auto" w:fill="FFFFFF"/>
        </w:rPr>
        <w:t>Gamificación</w:t>
      </w:r>
      <w:r w:rsidRPr="00776AD9">
        <w:rPr>
          <w:rFonts w:cs="Times New Roman"/>
          <w:color w:val="000000" w:themeColor="text1"/>
          <w:shd w:val="clear" w:color="auto" w:fill="FFFFFF"/>
        </w:rPr>
        <w:t> es una técnica de aprendizaje que traslada la mecánica de los juegos al ámbito educativo-profesional con el fin de conseguir mejores resultados, ya sea para absorber mejor algunos conocimientos, mejorar alguna habilidad, o bien recompensar acciones concretas, entre otros muchos objetivos.</w:t>
      </w:r>
    </w:p>
    <w:p w:rsidR="00776AD9" w:rsidRPr="00776AD9" w:rsidRDefault="00776AD9" w:rsidP="00776AD9">
      <w:pPr>
        <w:spacing w:after="0" w:line="240" w:lineRule="auto"/>
        <w:contextualSpacing/>
        <w:jc w:val="both"/>
        <w:rPr>
          <w:rFonts w:cs="Times New Roman"/>
          <w:color w:val="000000" w:themeColor="text1"/>
          <w:lang w:eastAsia="es-ES"/>
        </w:rPr>
      </w:pP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kern w:val="24"/>
          <w:lang w:val="es-ES" w:eastAsia="es-ES"/>
        </w:rPr>
      </w:pPr>
      <w:r w:rsidRPr="00776AD9">
        <w:rPr>
          <w:rFonts w:cs="Times New Roman"/>
          <w:b/>
          <w:color w:val="000000" w:themeColor="text1"/>
          <w:kern w:val="24"/>
          <w:lang w:val="es-ES" w:eastAsia="es-ES"/>
        </w:rPr>
        <w:t>Recursos didácticos:</w:t>
      </w:r>
      <w:r w:rsidRPr="00776AD9">
        <w:rPr>
          <w:rFonts w:cs="Times New Roman"/>
          <w:color w:val="000000" w:themeColor="text1"/>
          <w:kern w:val="24"/>
          <w:lang w:val="es-ES" w:eastAsia="es-ES"/>
        </w:rPr>
        <w:t xml:space="preserve"> Son aquellos recursos y herramientas que sirven para complementar las estrategias y actividades didácticas del proceso metodológico, como, por ejemplo: multimedia, audios, tutoriales, videos interactivos, entre otros.</w:t>
      </w: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r w:rsidRPr="00776AD9">
        <w:rPr>
          <w:rFonts w:cs="Times New Roman"/>
          <w:b/>
          <w:bCs/>
          <w:color w:val="000000" w:themeColor="text1"/>
          <w:shd w:val="clear" w:color="auto" w:fill="FFFFFF"/>
        </w:rPr>
        <w:t>Ambiente virtual (plataforma):</w:t>
      </w:r>
      <w:r w:rsidRPr="00776AD9">
        <w:rPr>
          <w:rFonts w:cs="Times New Roman"/>
          <w:color w:val="000000" w:themeColor="text1"/>
          <w:shd w:val="clear" w:color="auto" w:fill="FFFFFF"/>
        </w:rPr>
        <w:t xml:space="preserve"> Es el ciberespacio que como espacio tecnológico posibilita la adquisición de habilidades gestionando los contenidos didácticos, medios, mediaciones y procesos de aprendizaje, con un conjunto dinámico de tecnologías y aplicativos asociados. Por su naturaleza digital, asumen un lenguaje interactivo para realizar el uso de multimedia que contribuye el mejoramiento de los procesos de aprendizaje.</w:t>
      </w: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r w:rsidRPr="00776AD9">
        <w:rPr>
          <w:rFonts w:cs="Times New Roman"/>
          <w:b/>
          <w:color w:val="000000" w:themeColor="text1"/>
          <w:shd w:val="clear" w:color="auto" w:fill="FFFFFF"/>
        </w:rPr>
        <w:t xml:space="preserve">LMS: </w:t>
      </w:r>
      <w:r w:rsidRPr="00776AD9">
        <w:rPr>
          <w:rFonts w:cs="Times New Roman"/>
          <w:color w:val="000000" w:themeColor="text1"/>
          <w:shd w:val="clear" w:color="auto" w:fill="FFFFFF"/>
        </w:rPr>
        <w:t xml:space="preserve">Es un sistema de gestión de aprendizaje, un software instalado en un servidor web que se emplea para administrar, distribuir y controlar las actividades de formación no presencial de una institución u organización. </w:t>
      </w: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r w:rsidRPr="00776AD9">
        <w:rPr>
          <w:rFonts w:cs="Times New Roman"/>
          <w:b/>
          <w:color w:val="000000" w:themeColor="text1"/>
          <w:shd w:val="clear" w:color="auto" w:fill="FFFFFF"/>
        </w:rPr>
        <w:t xml:space="preserve">E- LEARNING ASINCRÓNICO: </w:t>
      </w:r>
      <w:r w:rsidRPr="00776AD9">
        <w:rPr>
          <w:rFonts w:cs="Times New Roman"/>
          <w:color w:val="000000" w:themeColor="text1"/>
          <w:shd w:val="clear" w:color="auto" w:fill="FFFFFF"/>
        </w:rPr>
        <w:t>Es una modalidad de aprendizaje en que el tutor y el alumno interactúan en espacios y momentos distintos. Esto permite al alumno, a través de documentación, material y actividades en línea, desarrollar su propio proceso de aprendizaje; es decir que, bajo esta modalidad, el alumno es autónomo, es quién planifica su ritmo y su tiempo de dedicación al estudio y a la participación en tareas o actividades individuales o en grupo, sin necesidad de estar en conexión directa con el o los tutores y los otros alumnos. Las herramientas de comunicación o interacción más utilizadas para el apoyo de esta modalidad de aprendizaje son: correo electrónico, teléfono foros, pizarra informativa, etc.</w:t>
      </w: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r w:rsidRPr="00776AD9">
        <w:rPr>
          <w:rFonts w:cs="Times New Roman"/>
          <w:b/>
          <w:color w:val="000000" w:themeColor="text1"/>
          <w:shd w:val="clear" w:color="auto" w:fill="FFFFFF"/>
        </w:rPr>
        <w:t xml:space="preserve">BLENDED: </w:t>
      </w:r>
      <w:r w:rsidRPr="00776AD9">
        <w:rPr>
          <w:rFonts w:cs="Times New Roman"/>
          <w:color w:val="000000" w:themeColor="text1"/>
          <w:shd w:val="clear" w:color="auto" w:fill="FFFFFF"/>
        </w:rPr>
        <w:t>Es una metodología de aprendizaje semipresencial, se refiere a la combinación del trabajo presencial y del trabajo en plataforma LMS, ​en donde el alumno puede controlar algunos factores como el lugar, momento y espacio de trabajo. Esta modalidad considerar la parte práctica (Presencial) con igual o mayor número de horas que la parte e-learning (Teórica).</w:t>
      </w:r>
    </w:p>
    <w:p w:rsidR="00776AD9" w:rsidRPr="00776AD9" w:rsidRDefault="00776AD9" w:rsidP="00776AD9">
      <w:pPr>
        <w:kinsoku w:val="0"/>
        <w:overflowPunct w:val="0"/>
        <w:spacing w:after="0" w:line="240" w:lineRule="auto"/>
        <w:contextualSpacing/>
        <w:jc w:val="both"/>
        <w:textAlignment w:val="baseline"/>
        <w:rPr>
          <w:rFonts w:cs="Times New Roman"/>
          <w:color w:val="000000" w:themeColor="text1"/>
          <w:shd w:val="clear" w:color="auto" w:fill="FFFFFF"/>
        </w:rPr>
      </w:pPr>
    </w:p>
    <w:p w:rsidR="00776AD9" w:rsidRPr="00776AD9" w:rsidRDefault="00776AD9" w:rsidP="00776AD9">
      <w:pPr>
        <w:kinsoku w:val="0"/>
        <w:overflowPunct w:val="0"/>
        <w:spacing w:after="0" w:line="240" w:lineRule="auto"/>
        <w:contextualSpacing/>
        <w:jc w:val="both"/>
        <w:textAlignment w:val="baseline"/>
        <w:rPr>
          <w:rFonts w:cs="Times New Roman"/>
          <w:b/>
          <w:bCs/>
          <w:color w:val="000000" w:themeColor="text1"/>
          <w:shd w:val="clear" w:color="auto" w:fill="FFFFFF"/>
        </w:rPr>
      </w:pPr>
      <w:r w:rsidRPr="00776AD9">
        <w:rPr>
          <w:rFonts w:cs="Times New Roman"/>
          <w:b/>
          <w:bCs/>
          <w:color w:val="000000" w:themeColor="text1"/>
          <w:shd w:val="clear" w:color="auto" w:fill="FFFFFF"/>
        </w:rPr>
        <w:t>Nota:</w:t>
      </w:r>
    </w:p>
    <w:p w:rsidR="00776AD9" w:rsidRPr="00776AD9" w:rsidRDefault="00776AD9" w:rsidP="00776AD9">
      <w:pPr>
        <w:spacing w:after="0" w:line="240" w:lineRule="auto"/>
        <w:jc w:val="both"/>
        <w:rPr>
          <w:rFonts w:eastAsia="Times New Roman" w:cs="Times New Roman"/>
          <w:color w:val="000000" w:themeColor="text1"/>
          <w:shd w:val="clear" w:color="auto" w:fill="FFFFFF"/>
          <w:lang w:val="es-ES" w:eastAsia="es-ES"/>
        </w:rPr>
      </w:pPr>
    </w:p>
    <w:p w:rsidR="00017370" w:rsidRDefault="00776AD9" w:rsidP="00776AD9">
      <w:pPr>
        <w:spacing w:after="0" w:line="240" w:lineRule="auto"/>
        <w:jc w:val="both"/>
      </w:pPr>
      <w:r w:rsidRPr="00776AD9">
        <w:rPr>
          <w:rFonts w:eastAsia="Times New Roman" w:cs="Times New Roman"/>
          <w:color w:val="000000" w:themeColor="text1"/>
          <w:shd w:val="clear" w:color="auto" w:fill="FFFFFF"/>
          <w:lang w:val="es-ES" w:eastAsia="es-ES"/>
        </w:rPr>
        <w:t xml:space="preserve">Hay que indicar que la Naturaleza del curso puede afectar en su evaluación. La Metodología y recursos que se utilicen en la plataforma deben considerarlo, pues si la oferta (curso) es práctica, los recursos educativos que se entreguen en la plataforma deben evidenciarlo. Por lo tanto, una solicitud que incluya actividades, en terreno o presenciales, no puede ser presentada bajo la modalidad e-learning, dado que, la naturaleza del curso no lo permitiría. Por ejemplo, un curso de Grúa Horquilla, de 8 horas prácticas y 8 horas teóricas, solo se podría realizar bajo la modalidad Presencial o la modalidad </w:t>
      </w:r>
      <w:proofErr w:type="spellStart"/>
      <w:r w:rsidRPr="00776AD9">
        <w:rPr>
          <w:rFonts w:eastAsia="Times New Roman" w:cs="Times New Roman"/>
          <w:color w:val="000000" w:themeColor="text1"/>
          <w:shd w:val="clear" w:color="auto" w:fill="FFFFFF"/>
          <w:lang w:val="es-ES" w:eastAsia="es-ES"/>
        </w:rPr>
        <w:t>Blended</w:t>
      </w:r>
      <w:proofErr w:type="spellEnd"/>
      <w:r w:rsidRPr="00776AD9">
        <w:rPr>
          <w:rFonts w:eastAsia="Times New Roman" w:cs="Times New Roman"/>
          <w:color w:val="000000" w:themeColor="text1"/>
          <w:shd w:val="clear" w:color="auto" w:fill="FFFFFF"/>
          <w:lang w:val="es-ES" w:eastAsia="es-ES"/>
        </w:rPr>
        <w:t>, ya que, solo así se podrá evidenciar el logro de los Aprendizajes Esperados.</w:t>
      </w:r>
      <w:bookmarkStart w:id="7" w:name="_GoBack"/>
      <w:bookmarkEnd w:id="7"/>
    </w:p>
    <w:sectPr w:rsidR="000173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B09E5"/>
    <w:multiLevelType w:val="hybridMultilevel"/>
    <w:tmpl w:val="989C00C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D0B0242"/>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107B756E"/>
    <w:multiLevelType w:val="hybridMultilevel"/>
    <w:tmpl w:val="E14E0114"/>
    <w:lvl w:ilvl="0" w:tplc="A2226622">
      <w:numFmt w:val="bullet"/>
      <w:lvlText w:val="•"/>
      <w:lvlJc w:val="left"/>
      <w:pPr>
        <w:ind w:left="720" w:hanging="360"/>
      </w:pPr>
      <w:rPr>
        <w:rFonts w:ascii="Calibri" w:eastAsia="Arial"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11006B66"/>
    <w:multiLevelType w:val="hybridMultilevel"/>
    <w:tmpl w:val="BC8CEB9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25C1084F"/>
    <w:multiLevelType w:val="hybridMultilevel"/>
    <w:tmpl w:val="E0BAE38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3F8349C4"/>
    <w:multiLevelType w:val="hybridMultilevel"/>
    <w:tmpl w:val="687237AA"/>
    <w:lvl w:ilvl="0" w:tplc="CDB08DE8">
      <w:start w:val="7"/>
      <w:numFmt w:val="lowerLetter"/>
      <w:lvlText w:val="%1)"/>
      <w:lvlJc w:val="left"/>
      <w:pPr>
        <w:ind w:left="426" w:hanging="360"/>
      </w:pPr>
      <w:rPr>
        <w:rFonts w:hint="default"/>
      </w:rPr>
    </w:lvl>
    <w:lvl w:ilvl="1" w:tplc="340A0019" w:tentative="1">
      <w:start w:val="1"/>
      <w:numFmt w:val="lowerLetter"/>
      <w:lvlText w:val="%2."/>
      <w:lvlJc w:val="left"/>
      <w:pPr>
        <w:ind w:left="1146" w:hanging="360"/>
      </w:pPr>
    </w:lvl>
    <w:lvl w:ilvl="2" w:tplc="340A001B" w:tentative="1">
      <w:start w:val="1"/>
      <w:numFmt w:val="lowerRoman"/>
      <w:lvlText w:val="%3."/>
      <w:lvlJc w:val="right"/>
      <w:pPr>
        <w:ind w:left="1866" w:hanging="180"/>
      </w:pPr>
    </w:lvl>
    <w:lvl w:ilvl="3" w:tplc="340A000F" w:tentative="1">
      <w:start w:val="1"/>
      <w:numFmt w:val="decimal"/>
      <w:lvlText w:val="%4."/>
      <w:lvlJc w:val="left"/>
      <w:pPr>
        <w:ind w:left="2586" w:hanging="360"/>
      </w:pPr>
    </w:lvl>
    <w:lvl w:ilvl="4" w:tplc="340A0019" w:tentative="1">
      <w:start w:val="1"/>
      <w:numFmt w:val="lowerLetter"/>
      <w:lvlText w:val="%5."/>
      <w:lvlJc w:val="left"/>
      <w:pPr>
        <w:ind w:left="3306" w:hanging="360"/>
      </w:pPr>
    </w:lvl>
    <w:lvl w:ilvl="5" w:tplc="340A001B" w:tentative="1">
      <w:start w:val="1"/>
      <w:numFmt w:val="lowerRoman"/>
      <w:lvlText w:val="%6."/>
      <w:lvlJc w:val="right"/>
      <w:pPr>
        <w:ind w:left="4026" w:hanging="180"/>
      </w:pPr>
    </w:lvl>
    <w:lvl w:ilvl="6" w:tplc="340A000F" w:tentative="1">
      <w:start w:val="1"/>
      <w:numFmt w:val="decimal"/>
      <w:lvlText w:val="%7."/>
      <w:lvlJc w:val="left"/>
      <w:pPr>
        <w:ind w:left="4746" w:hanging="360"/>
      </w:pPr>
    </w:lvl>
    <w:lvl w:ilvl="7" w:tplc="340A0019" w:tentative="1">
      <w:start w:val="1"/>
      <w:numFmt w:val="lowerLetter"/>
      <w:lvlText w:val="%8."/>
      <w:lvlJc w:val="left"/>
      <w:pPr>
        <w:ind w:left="5466" w:hanging="360"/>
      </w:pPr>
    </w:lvl>
    <w:lvl w:ilvl="8" w:tplc="340A001B" w:tentative="1">
      <w:start w:val="1"/>
      <w:numFmt w:val="lowerRoman"/>
      <w:lvlText w:val="%9."/>
      <w:lvlJc w:val="right"/>
      <w:pPr>
        <w:ind w:left="6186" w:hanging="180"/>
      </w:pPr>
    </w:lvl>
  </w:abstractNum>
  <w:abstractNum w:abstractNumId="6" w15:restartNumberingAfterBreak="0">
    <w:nsid w:val="417024B2"/>
    <w:multiLevelType w:val="hybridMultilevel"/>
    <w:tmpl w:val="DDA6E30E"/>
    <w:lvl w:ilvl="0" w:tplc="AE52EF1A">
      <w:start w:val="9"/>
      <w:numFmt w:val="lowerLetter"/>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4B610C5B"/>
    <w:multiLevelType w:val="hybridMultilevel"/>
    <w:tmpl w:val="5A886EE2"/>
    <w:lvl w:ilvl="0" w:tplc="340A0001">
      <w:start w:val="1"/>
      <w:numFmt w:val="bullet"/>
      <w:lvlText w:val=""/>
      <w:lvlJc w:val="left"/>
      <w:pPr>
        <w:ind w:left="1438" w:hanging="360"/>
      </w:pPr>
      <w:rPr>
        <w:rFonts w:ascii="Symbol" w:hAnsi="Symbol" w:hint="default"/>
      </w:rPr>
    </w:lvl>
    <w:lvl w:ilvl="1" w:tplc="340A0003" w:tentative="1">
      <w:start w:val="1"/>
      <w:numFmt w:val="bullet"/>
      <w:lvlText w:val="o"/>
      <w:lvlJc w:val="left"/>
      <w:pPr>
        <w:ind w:left="2158" w:hanging="360"/>
      </w:pPr>
      <w:rPr>
        <w:rFonts w:ascii="Courier New" w:hAnsi="Courier New" w:cs="Courier New" w:hint="default"/>
      </w:rPr>
    </w:lvl>
    <w:lvl w:ilvl="2" w:tplc="340A0005" w:tentative="1">
      <w:start w:val="1"/>
      <w:numFmt w:val="bullet"/>
      <w:lvlText w:val=""/>
      <w:lvlJc w:val="left"/>
      <w:pPr>
        <w:ind w:left="2878" w:hanging="360"/>
      </w:pPr>
      <w:rPr>
        <w:rFonts w:ascii="Wingdings" w:hAnsi="Wingdings" w:hint="default"/>
      </w:rPr>
    </w:lvl>
    <w:lvl w:ilvl="3" w:tplc="340A0001" w:tentative="1">
      <w:start w:val="1"/>
      <w:numFmt w:val="bullet"/>
      <w:lvlText w:val=""/>
      <w:lvlJc w:val="left"/>
      <w:pPr>
        <w:ind w:left="3598" w:hanging="360"/>
      </w:pPr>
      <w:rPr>
        <w:rFonts w:ascii="Symbol" w:hAnsi="Symbol" w:hint="default"/>
      </w:rPr>
    </w:lvl>
    <w:lvl w:ilvl="4" w:tplc="340A0003" w:tentative="1">
      <w:start w:val="1"/>
      <w:numFmt w:val="bullet"/>
      <w:lvlText w:val="o"/>
      <w:lvlJc w:val="left"/>
      <w:pPr>
        <w:ind w:left="4318" w:hanging="360"/>
      </w:pPr>
      <w:rPr>
        <w:rFonts w:ascii="Courier New" w:hAnsi="Courier New" w:cs="Courier New" w:hint="default"/>
      </w:rPr>
    </w:lvl>
    <w:lvl w:ilvl="5" w:tplc="340A0005" w:tentative="1">
      <w:start w:val="1"/>
      <w:numFmt w:val="bullet"/>
      <w:lvlText w:val=""/>
      <w:lvlJc w:val="left"/>
      <w:pPr>
        <w:ind w:left="5038" w:hanging="360"/>
      </w:pPr>
      <w:rPr>
        <w:rFonts w:ascii="Wingdings" w:hAnsi="Wingdings" w:hint="default"/>
      </w:rPr>
    </w:lvl>
    <w:lvl w:ilvl="6" w:tplc="340A0001" w:tentative="1">
      <w:start w:val="1"/>
      <w:numFmt w:val="bullet"/>
      <w:lvlText w:val=""/>
      <w:lvlJc w:val="left"/>
      <w:pPr>
        <w:ind w:left="5758" w:hanging="360"/>
      </w:pPr>
      <w:rPr>
        <w:rFonts w:ascii="Symbol" w:hAnsi="Symbol" w:hint="default"/>
      </w:rPr>
    </w:lvl>
    <w:lvl w:ilvl="7" w:tplc="340A0003" w:tentative="1">
      <w:start w:val="1"/>
      <w:numFmt w:val="bullet"/>
      <w:lvlText w:val="o"/>
      <w:lvlJc w:val="left"/>
      <w:pPr>
        <w:ind w:left="6478" w:hanging="360"/>
      </w:pPr>
      <w:rPr>
        <w:rFonts w:ascii="Courier New" w:hAnsi="Courier New" w:cs="Courier New" w:hint="default"/>
      </w:rPr>
    </w:lvl>
    <w:lvl w:ilvl="8" w:tplc="340A0005" w:tentative="1">
      <w:start w:val="1"/>
      <w:numFmt w:val="bullet"/>
      <w:lvlText w:val=""/>
      <w:lvlJc w:val="left"/>
      <w:pPr>
        <w:ind w:left="7198" w:hanging="360"/>
      </w:pPr>
      <w:rPr>
        <w:rFonts w:ascii="Wingdings" w:hAnsi="Wingdings" w:hint="default"/>
      </w:rPr>
    </w:lvl>
  </w:abstractNum>
  <w:abstractNum w:abstractNumId="8" w15:restartNumberingAfterBreak="0">
    <w:nsid w:val="6CB93EA7"/>
    <w:multiLevelType w:val="hybridMultilevel"/>
    <w:tmpl w:val="B456CF8E"/>
    <w:lvl w:ilvl="0" w:tplc="3FA63878">
      <w:start w:val="8"/>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6E16076F"/>
    <w:multiLevelType w:val="hybridMultilevel"/>
    <w:tmpl w:val="72384D9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73321E1C"/>
    <w:multiLevelType w:val="hybridMultilevel"/>
    <w:tmpl w:val="88CC9F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0"/>
  </w:num>
  <w:num w:numId="5">
    <w:abstractNumId w:val="9"/>
  </w:num>
  <w:num w:numId="6">
    <w:abstractNumId w:val="2"/>
  </w:num>
  <w:num w:numId="7">
    <w:abstractNumId w:val="3"/>
  </w:num>
  <w:num w:numId="8">
    <w:abstractNumId w:val="5"/>
  </w:num>
  <w:num w:numId="9">
    <w:abstractNumId w:val="8"/>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AD9"/>
    <w:rsid w:val="00655EFE"/>
    <w:rsid w:val="00776AD9"/>
    <w:rsid w:val="008502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15D84"/>
  <w15:chartTrackingRefBased/>
  <w15:docId w15:val="{F6B33B22-C0FB-4DDC-9EB1-9498C3D6E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5348</Words>
  <Characters>29419</Characters>
  <Application>Microsoft Office Word</Application>
  <DocSecurity>0</DocSecurity>
  <Lines>245</Lines>
  <Paragraphs>69</Paragraphs>
  <ScaleCrop>false</ScaleCrop>
  <Company/>
  <LinksUpToDate>false</LinksUpToDate>
  <CharactersWithSpaces>34698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Barrera Araya</dc:creator>
  <cp:keywords/>
  <dc:description/>
  <cp:lastModifiedBy>Carlos Barrera Araya</cp:lastModifiedBy>
  <cp:revision>1</cp:revision>
  <dcterms:created xsi:type="dcterms:W3CDTF">2022-01-24T17:34:00Z</dcterms:created>
  <dcterms:modified xsi:type="dcterms:W3CDTF">2022-01-24T17:35:00Z</dcterms:modified>
</cp:coreProperties>
</file>